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325 KAGB — Anzeigepflicht einer ausländischen AIF-Verwaltungsgesellschaft, deren Referenzmitgliedstaat die Bundesrepublik Deutschland ist, beim beabsichtigten Vertrieb von EU-AIF oder von inländischen Spezial-AIF an semiprofessionelle und professionelle Anleger im Inland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Beabsichtigt eine ausländische AIF-Verwaltungsgesellschaft, deren Referenzmitgliedstaat gemäß § 56 die Bundesrepublik Deutschland ist und die von der Bundesanstalt eine Erlaubnis nach § 58 erhalten hat, Anteile oder Aktien an einem von ihr verwalteten EU-AIF oder inländischen Spezial-AIF an semiprofessionelle oder professionelle Anleger im Geltungsbereich dieses Gesetzes zu vertreiben, hat sie dies der Bundesanstalt anzuzeigen. § 321 Absatz 1 Satz 2 gilt entsprechend mit der Maßgabe, dass es statt „AIF-Kapitalverwaltungsgesellschaft“ „ausländische AIF-Verwaltungsgesellschaft“ heißen muss.</w:t>
      </w:r>
    </w:p>
    <w:p>
      <w:r>
        <w:t xml:space="preserve">(2) § 321 Absatz 2 bis 4 ist mit der Maßgabe entsprechend anzuwenden, dass</w:t>
      </w:r>
    </w:p>
    <w:p>
      <w:pPr>
        <w:ind w:left="420"/>
      </w:pPr>
      <w:r>
        <w:t xml:space="preserve">1. es statt „AIF-Kapitalverwaltungsgesellschaft“ „ausländische AIF-Verwaltungsgesellschaft“ heißen muss,</w:t>
      </w:r>
    </w:p>
    <w:p>
      <w:pPr>
        <w:ind w:left="420"/>
      </w:pPr>
      <w:r>
        <w:t xml:space="preserve">2. im Rahmen von § 321 Absatz 3 die Bundesanstalt zusätzlich der Europäischen Wertpapier- und Marktaufsichtsbehörde mitteilt, dass die ausländische AIF-Verwaltungsgesellschaft mit dem Vertrieb von Anteilen oder Aktien des angezeigten AIF an professionelle Anleger im Inland beginnen kann, und</w:t>
      </w:r>
    </w:p>
    <w:p>
      <w:pPr>
        <w:ind w:left="420"/>
      </w:pPr>
      <w:r>
        <w:t xml:space="preserve">3. bei zulässigen Änderungen nach § 321 Absatz 4 die Bundesanstalt unverzüglich die Europäische Wertpapier- und Marktaufsichtsbehörde unterrichtet, soweit die Änderungen die Beendigung des Vertriebs von bestimmten AIF oder zusätzlich vertriebenen AIF betreffen.</w:t>
      </w:r>
    </w:p>
    <w:p>
      <w:r>
        <w:rPr>
          <w:color w:val="555555"/>
          <w:sz w:val="17"/>
        </w:rPr>
        <w:t xml:space="preserve">Zitiervorschlag: § 325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