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324 KAGB — Anzeigepflicht einer EU-AIF-Verwaltungsgesellschaft beim beabsichtigten Vertrieb von ausländischen AIF oder von inländischen Spezial-Feeder-AIF oder EU-Feeder-AIF, deren jeweiliger Master-AIF kein EU-AIF oder inländischer AIF ist, der von einer EU-AIF-Verwaltungsgesellschaft oder einer AIF-Kapitalverwaltungsgesellschaft verwaltet wird, an semiprofessionelle und professionelle Anleger im Inland</w:t>
      </w:r>
    </w:p>
    <w:p>
      <w:r>
        <w:rPr>
          <w:color w:val="555555"/>
          <w:sz w:val="18"/>
        </w:rPr>
        <w:t xml:space="preserve">Kapitalanlagegesetzbuch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Ein Vertrieb von Anteilen oder Aktien an ausländischen AIF und von Anteilen oder Aktien an inländischen Spezial-Feeder-AIF oder EU-Feeder-AIF, deren jeweiliger Master-AIF kein EU-AIF oder inländischer AIF ist, der von einer EU-AIF-Verwaltungsgesellschaft oder einer AIF-Kapitalverwaltungsgesellschaft verwaltet wird, an semiprofessionelle oder professionelle Anleger im Geltungsbereich dieses Gesetzes durch eine EU-AIF-Verwaltungsgesellschaft ist nur zulässig, wenn die in § 322 Absatz 1 genannten Voraussetzungen gegeben sind. Ist die Bundesanstalt nicht mit der Beurteilung der in § 322 Absatz 1 Nummer 1 und 2 genannten Voraussetzungen durch die zuständige Stelle des Herkunftsmitgliedstaates der EU-AIF-Verwaltungsgesellschaft einverstanden, kann die Bundesanstalt die Europäische Wertpapier- und Marktaufsichtsbehörde nach Maßgabe des Artikels 19 der Verordnung (EU) Nr. 1095/2010 um Hilfe ersuchen.</w:t>
      </w:r>
    </w:p>
    <w:p>
      <w:r>
        <w:t xml:space="preserve">(2) Beabsichtigt eine EU-AIF-Verwaltungsgesellschaft im Geltungsbereich dieses Gesetzes, die in Absatz 1 Satz 1 genannten AIF an semiprofessionelle oder professionelle Anleger zu vertreiben, so prüft die Bundesanstalt, ob die zuständige Stelle des Herkunftsmitgliedstaates der EU-AIF-Verwaltungsgesellschaft eine von ihr ausgestellte Bescheinigung über die Erlaubnis der betreffenden EU-AIF-Verwaltungsgesellschaft zur Verwaltung von AIF mit einer bestimmten Anlagestrategie sowie ein Anzeigeschreiben für jeden AIF in einer in der internationalen Finanzwelt gebräuchlichen Sprache übermittelt hat. § 323 Absatz 1 Satz 2 gilt entsprechend.</w:t>
      </w:r>
    </w:p>
    <w:p>
      <w:r>
        <w:t xml:space="preserve">(3) § 323 Absatz 2 Satz 1 und 3 sowie Absatz 3 ist entsprechend anzuwenden.</w:t>
      </w:r>
    </w:p>
    <w:p>
      <w:r>
        <w:rPr>
          <w:color w:val="555555"/>
          <w:sz w:val="17"/>
        </w:rPr>
        <w:t xml:space="preserve">Zitiervorschlag: § 324 KAGB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https://recht.nulegal.eu/gesetze/KAGB/324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