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323 KAGB — Anzeigepflicht einer EU-AIF-Verwaltungsgesellschaft beim beabsichtigten Vertrieb von EU-AIF oder von inländischen Spezial-AIF an semiprofessionelle und professionelle Anleger im Inland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Beabsichtigt eine EU-AIF-Verwaltungsgesellschaft im Geltungsbereich dieses Gesetzes, Anteile oder Aktien an EU-AIF oder an inländischen Spezial-AIF an semiprofessionelle oder professionelle Anleger zu vertreiben, so prüft die Bundesanstalt, ob die zuständige Stelle des Herkunftsmitgliedstaates der EU-AIF-Verwaltungsgesellschaft Folgendes übermittelt hat:</w:t>
      </w:r>
    </w:p>
    <w:p>
      <w:pPr>
        <w:ind w:left="420"/>
      </w:pPr>
      <w:r>
        <w:t xml:space="preserve">1. eine von ihr ausgestellte Bescheinigung nach Anhang IV der Durchführungsverordnung (EU) 2024/913 in seiner jeweils geltenden Fassung sowie</w:t>
      </w:r>
    </w:p>
    <w:p>
      <w:pPr>
        <w:ind w:left="420"/>
      </w:pPr>
      <w:r>
        <w:t xml:space="preserve">2. ein Anzeigeschreiben nach Anhang II der Durchführungsverordnung (EU) 2024/913 in seiner jeweils geltenden Fassung,</w:t>
      </w:r>
    </w:p>
    <w:p>
      <w:r>
        <w:t xml:space="preserve">jeweils in einer in der internationalen Finanzwelt gebräuchlichen Sprache.</w:t>
      </w:r>
    </w:p>
    <w:p>
      <w:r>
        <w:t xml:space="preserve">(2) Der Vertrieb kann aufgenommen werden, wenn die EU-AIF-Verwaltungsgesellschaft von der zuständigen Stelle ihres Herkunftsmitgliedstaates über die Übermittlung nach Absatz 1 unterrichtet wurde. Ist der AIF im Sinne von Absatz 1 Satz 1 ein Feeder-AIF, so besteht ein Recht zum Vertrieb gemäß Satz 1 nur, wenn der Master-AIF ebenfalls ein EU-AIF oder ein inländischer AIF ist, der von einer EU-AIF-Verwaltungsgesellschaft oder einer AIF-Kapitalverwaltungsgesellschaft verwaltet wird. Die Bundesanstalt prüft, ob die Vorkehrungen nach § 321 Absatz 1 Satz 2 Nummer 7 geeignet sind, um einen Vertrieb an Privatanleger wirksam zu verhindern und ob die Vorkehrungen nach § 323 Absatz 1 Satz 2 gegen dieses Gesetz verstoßen.</w:t>
      </w:r>
    </w:p>
    <w:p>
      <w:r>
        <w:t xml:space="preserve">(3) Wird die Bundesanstalt von den zuständigen Stellen im Herkunftsmitgliedstaat der EU-AIF-Verwaltungsgesellschaft über eine Änderung der Vorkehrungen nach § 321 Absatz 1 Satz 2 Nummer 7 und § 323 Absatz 1 Satz 2 unterrichtet, prüft die Bundesanstalt, ob die Vorkehrungen nach § 321 Absatz 1 Satz 2 Nummer 7 weiterhin geeignet sind, um einen Vertrieb an Privatanleger wirksam zu verhindern und ob die Vorkehrungen nach § 323 Absatz 1 Satz 2 weiterhin nicht gegen dieses Gesetz verstoßen.</w:t>
      </w:r>
    </w:p>
    <w:p>
      <w:r>
        <w:rPr>
          <w:color w:val="555555"/>
          <w:sz w:val="17"/>
        </w:rPr>
        <w:t xml:space="preserve">Zitiervorschlag: § 323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