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322 KAGB — Anzeigepflicht einer AIF-Kapitalverwaltungsgesellschaft beim beabsichtigten Vertrieb von ausländischen AIF oder von inländischen Spezial-Feeder-AIF oder EU-Feeder-AIF, deren jeweiliger Master-AIF kein EU-AIF oder inländischer AIF ist, der von einer EU-AIF-Verwaltungsgesellschaft oder einer AIF-Kapitalverwaltungsgesellschaft verwaltet wird, an semiprofessionelle und professionelle Anleger im Inland</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Der Vertrieb von Anteilen oder Aktien an ausländischen AIF und von Anteilen oder Aktien an EU-Feeder-AIF oder inländischen Spezial-Feeder-AIF, deren jeweiliger Master-AIF kein EU-AIF oder inländischer AIF ist, der von einer EU-AIF-Verwaltungsgesellschaft oder einer AIF-Kapitalverwaltungsgesellschaft verwaltet wird, an semiprofessionelle und professionelle Anleger im Geltungsbereich dieses Gesetzes durch eine AIF-Kapitalverwaltungsgesellschaft ist nur zulässig, wenn</w:t>
      </w:r>
    </w:p>
    <w:p>
      <w:pPr>
        <w:ind w:left="420"/>
      </w:pPr>
      <w:r>
        <w:t xml:space="preserve">1. geeignete Vereinbarungen über die Zusammenarbeit zwischen der Bundesanstalt und den Aufsichtsbehörden des Drittstaates bestehen, in dem der ausländische AIF seinen Sitz hat, damit unter Berücksichtigung von § 9 Absatz 8 zumindest ein effizienter Informationsaustausch gewährleistet ist, der es der Bundesanstalt ermöglicht, ihre Aufgaben gemäß der Richtlinie 2011/61/EU wahrzunehmen;</w:t>
      </w:r>
    </w:p>
    <w:p>
      <w:pPr>
        <w:ind w:left="420"/>
      </w:pPr>
      <w:r>
        <w:t xml:space="preserve">2. der Drittstaat, in dem der ausländische AIF seinen Sitz hat, nicht als Drittstaat mit hohem Risiko nach Artikel 9 Absatz 2 der Richtlinie (EU) 2015/849 eingestuft ist;</w:t>
      </w:r>
    </w:p>
    <w:p>
      <w:pPr>
        <w:ind w:left="420"/>
      </w:pPr>
      <w:r>
        <w:t xml:space="preserve">3. der Drittstaat, in dem der ausländische AIF seinen Sitz hat, mit der Bundesrepublik Deutschland eine Vereinbarung unterzeichnet hat, die den Normen des Artikels 26 des OECD-Musterabkommens zur Vermeidung der Doppelbesteuerung von Einkommen und Vermögen vollständig entspricht und einen wirksamen Informationsaustausch in Steuerangelegenheiten, gegebenenfalls einschließlich multilateraler Abkommen über die Besteuerung, gewährleistet, und dieser Drittstaat nicht in Anhang I der Schlussfolgerungen des Rates zur überarbeiteten EU-Liste nicht kooperativer Länder und Gebiete für Steuerzwecke aufgeführt ist;</w:t>
      </w:r>
    </w:p>
    <w:p>
      <w:pPr>
        <w:ind w:left="420"/>
      </w:pPr>
      <w:r>
        <w:t xml:space="preserve">4. die AIF-Kapitalverwaltungsgesellschaft bei der Verwaltung eines ausländischen AIF abweichend von § 55 Absatz 1 Nummer 1 alle in der Richtlinie 2011/61/EU für diese AIF festgelegten Anforderungen erfüllt.</w:t>
      </w:r>
    </w:p>
    <w:p>
      <w:r>
        <w:t xml:space="preserve">(2) Beabsichtigt eine AIF-Kapitalverwaltungsgesellschaft, Anteile oder Aktien an einem von ihr verwalteten AIF im Sinne von Absatz 1 Satz 1 im Geltungsbereich dieses Gesetzes an semiprofessionelle oder professionelle Anleger zu vertreiben, so hat sie dies der Bundesanstalt anzuzeigen. Für den Inhalt des Anzeigeschreibens einschließlich der erforderlichen Dokumentation und Angaben gilt § 321 Absatz 1 Satz 2 entsprechend.</w:t>
      </w:r>
    </w:p>
    <w:p>
      <w:r>
        <w:t xml:space="preserve">(3) § 321 Absatz 2 gilt entsprechend.</w:t>
      </w:r>
    </w:p>
    <w:p>
      <w:r>
        <w:t xml:space="preserve">(4) § 321 Absatz 3 Satz 1 bis 4 und 6 gilt entsprechend. Die Bundesanstalt teilt der Europäischen Wertpapier- und Marktaufsichtsbehörde mit, dass die AIF-Kapitalverwaltungsgesellschaft mit dem Vertrieb von Anteilen oder Aktien des angezeigten AIF im Geltungsbereich dieses Gesetzes an professionelle Anleger beginnen kann. Falls es sich um einen EU-Feeder-AIF handelt, teilt die Bundesanstalt zudem den für den EU-Feeder-AIF in seinem Herkunftsmitgliedstaat zuständigen Stellen mit, dass die AIF-Kapitalverwaltungsgesellschaft mit dem Vertrieb von Anteilen oder Aktien des EU-Feeder-AIF an professionelle Anleger im Geltungsbereich dieses Gesetzes beginnen kann.</w:t>
      </w:r>
    </w:p>
    <w:p>
      <w:r>
        <w:t xml:space="preserve">(5) Die AIF-Kapitalverwaltungsgesellschaft teilt der Bundesanstalt wesentliche Änderungen der nach Absatz 2 übermittelten Angaben mit. § 321 Absatz 4 Satz 2 bis 5 gilt entsprechend. Änderungen sind zulässig, wenn sie nicht dazu führen, dass die AIF-Kapitalverwaltungsgesellschaft oder die Verwaltung des angezeigten AIF durch die AIF-Kapitalverwaltungsgesellschaft gegen die Vorschriften dieses Gesetzes oder gegen die Vorschriften der Richtlinie 2011/61/EU verstößt. Bei zulässigen Änderungen unterrichtet die Bundesanstalt unverzüglich die Europäische Wertpapier- und Marktaufsichtsbehörde, soweit die Änderungen die Beendigung des Vertriebs von bestimmten AIF oder zusätzlich vertriebenen AIF betreffen.</w:t>
      </w:r>
    </w:p>
    <w:p>
      <w:r>
        <w:rPr>
          <w:color w:val="555555"/>
          <w:sz w:val="17"/>
        </w:rPr>
        <w:t xml:space="preserve">Zitiervorschlag: § 322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