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320 KAGB — Anzeigepflicht beim beabsichtigten Vertrieb von EU-AIF oder von ausländischen AIF an Privatanleger im Inland</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Beabsichtigt eine EU-AIF-Verwaltungsgesellschaft oder eine ausländische AIF-Verwaltungsgesellschaft, Anteile oder Aktien an einem von ihr verwalteten EU-AIF oder an einem ausländischen AIF im Geltungsbereich dieses Gesetzes an Privatanleger zu vertreiben, so hat sie dies der Bundesanstalt anzuzeigen. Das Anzeigeschreiben muss folgende Angaben und Unterlagen in jeweils geltender Fassung enthalten:</w:t>
      </w:r>
    </w:p>
    <w:p>
      <w:pPr>
        <w:ind w:left="420"/>
      </w:pPr>
      <w:r>
        <w:t xml:space="preserve">1. bei der Anzeige</w:t>
      </w:r>
    </w:p>
    <w:p>
      <w:pPr>
        <w:ind w:left="780"/>
      </w:pPr>
      <w:r>
        <w:t xml:space="preserve">a) einer EU-AIF-Verwaltungsgesellschaft oder ab dem Zeitpunkt, auf den in § 295 Absatz 2 Nummer 1 verwiesen wird, einer ausländischen AIF-Verwaltungsgesellschaft eine Bescheinigung der zuständigen Stelle ihres Herkunftsmitgliedstaates oder ihres Referenzmitgliedstaates in einer in der internationalen Finanzwelt gebräuchlichen Sprache, dass die AIF-Verwaltungsgesellschaft und die Verwaltung des AIF durch diese der Richtlinie 2011/61/EU entsprechen und dass die AIF-Verwaltungsgesellschaft über eine Erlaubnis zur Verwaltung von AIF mit einer bestimmten Anlagestrategie verfügt,</w:t>
      </w:r>
    </w:p>
    <w:p>
      <w:pPr>
        <w:ind w:left="780"/>
      </w:pPr>
      <w:r>
        <w:t xml:space="preserve">b) einer ausländischen AIF-Verwaltungsgesellschaft vor dem Zeitpunkt, auf den in § 295 Absatz 2 Nummer 1 verwiesen wird, Angaben und Unterlagen entsprechend § 22 Absatz 1 Nummer 1 bis 9 und 13;</w:t>
      </w:r>
    </w:p>
    <w:p>
      <w:pPr>
        <w:ind w:left="420"/>
      </w:pPr>
      <w:r>
        <w:t xml:space="preserve">2. alle wesentlichen Angaben zur AIF-Verwaltungsgesellschaft, zum AIF, zum Repräsentanten, zur Verwahrstelle und zur Zahlstelle sowie die Bestätigungen des Repräsentanten, der Verwahrstelle und der Zahlstelle über die Übernahme dieser Funktionen; Angaben zur Verwahrstelle sind nur insoweit erforderlich, als sie von der Bescheinigung nach Nummer 1 Buchstabe a nicht erfasst werden;</w:t>
      </w:r>
    </w:p>
    <w:p>
      <w:pPr>
        <w:ind w:left="420"/>
      </w:pPr>
      <w:r>
        <w:t xml:space="preserve">3. die Anlagebedingungen, die Satzung oder den Gesellschaftsvertrag des EU-AIF oder ausländischen AIF, seinen Geschäftsplan, der auch die wesentlichen Angaben zu seinen Organen enthält, sowie den Verkaufsprospekt, das Basisinformationsblatt gemäß Verordnung (EU) Nr. 1286/2014 und alle weiteren für den Anleger verfügbaren Informationen über den angezeigten AIF sowie wesentliche Angaben über die für den Vertrieb im Geltungsbereich dieses Gesetzes vorgesehenen Vertriebsgesellschaften;</w:t>
      </w:r>
    </w:p>
    <w:p>
      <w:pPr>
        <w:ind w:left="420"/>
      </w:pPr>
      <w:r>
        <w:t xml:space="preserve">4. den letzten Jahresbericht, der den Anforderungen des § 299 Absatz 1 Satz 1 Nummer 3 entsprechen muss, und, wenn der Stichtag des Jahresberichts länger als acht Monate zurückliegt und es sich nicht um einen geschlossenen AIF handelt, auch der anschließende Halbjahresbericht, der den Anforderungen des § 299 Absatz 1 Satz 1 Nummer 4 entsprechen muss; der Jahresbericht muss mit dem Bestätigungsvermerk eines Wirtschaftsprüfers versehen sein;</w:t>
      </w:r>
    </w:p>
    <w:p>
      <w:pPr>
        <w:ind w:left="420"/>
      </w:pPr>
      <w:r>
        <w:t xml:space="preserve">5. die festgestellte Jahresbilanz des letzten Geschäftsjahres nebst Gewinn- und Verlustrechnung (Jahresabschluss) der Verwaltungsgesellschaft, die mit dem Bestätigungsvermerk eines Wirtschaftsprüfers versehen sein muss;</w:t>
      </w:r>
    </w:p>
    <w:p>
      <w:pPr>
        <w:ind w:left="420"/>
      </w:pPr>
      <w:r>
        <w:t xml:space="preserve">6. Angaben zu den Vorkehrungen für den Vertrieb des angezeigten AIF;</w:t>
      </w:r>
    </w:p>
    <w:p>
      <w:pPr>
        <w:ind w:left="420"/>
      </w:pPr>
      <w:r>
        <w:t xml:space="preserve">7. die Erklärung der EU-AIF-Verwaltungsgesellschaft oder der ausländischen AIF-Verwaltungsgesellschaft, dass sie sich verpflichtet,</w:t>
      </w:r>
    </w:p>
    <w:p>
      <w:pPr>
        <w:ind w:left="780"/>
      </w:pPr>
      <w:r>
        <w:t xml:space="preserve">a) der Bundesanstalt den Jahresabschluss der Verwaltungsgesellschaft und den nach § 299 Absatz 1 Satz 1 Nummer 3 zu veröffentlichenden Jahresbericht spätestens sechs Monate nach Ende jedes Geschäftsjahres sowie für offene AIF zusätzlich den nach § 299 Absatz 1 Satz 1 Nummer 4 zu veröffentlichenden Halbjahresbericht spätestens drei Monate nach Ende jedes Geschäftshalbjahres einzureichen; der Jahresabschluss und der Jahresbericht müssen mit dem Bestätigungsvermerk eines Wirtschaftsprüfers versehen sein;</w:t>
      </w:r>
    </w:p>
    <w:p>
      <w:pPr>
        <w:ind w:left="780"/>
      </w:pPr>
      <w:r>
        <w:t xml:space="preserve">b) die Bundesanstalt über alle wesentlichen Änderungen von Umständen, die bei der Vertriebsanzeige angegeben worden sind oder die der Bescheinigung der zuständigen Stelle nach Nummer 1 Buchstabe a zugrunde liegen, gemäß Absatz 4 zu unterrichten und die Änderungsangaben nachzuweisen;</w:t>
      </w:r>
    </w:p>
    <w:p>
      <w:pPr>
        <w:ind w:left="780"/>
      </w:pPr>
      <w:r>
        <w:t xml:space="preserve">c) der Bundesanstalt auf Verlangen über ihre Geschäftstätigkeit Auskunft zu erteilen und Unterlagen vorzulegen;</w:t>
      </w:r>
    </w:p>
    <w:p>
      <w:pPr>
        <w:ind w:left="780"/>
      </w:pPr>
      <w:r>
        <w:t xml:space="preserve">d) auf Verlangen der Bundesanstalt den Einsatz von Leverage auf den von der Bundesanstalt geforderten Umfang zu beschränken oder einzustellen und</w:t>
      </w:r>
    </w:p>
    <w:p>
      <w:pPr>
        <w:ind w:left="780"/>
      </w:pPr>
      <w:r>
        <w:t xml:space="preserve">e) falls es sich um eine ausländische AIF-Verwaltungsgesellschaft handelt, gegenüber der Bundesanstalt die Berichtspflichten nach § 35 zu erfüllen;</w:t>
      </w:r>
    </w:p>
    <w:p>
      <w:pPr>
        <w:ind w:left="420"/>
      </w:pPr>
      <w:r>
        <w:t xml:space="preserve">8. den Nachweis über die Zahlung der Gebühr für die Anzeige;</w:t>
      </w:r>
    </w:p>
    <w:p>
      <w:pPr>
        <w:ind w:left="420"/>
      </w:pPr>
      <w:r>
        <w:t xml:space="preserve">9. alle wesentlichen Angaben und Unterlagen, aus denen hervorgeht, dass der ausländische AIF und seine Verwaltungsgesellschaft in dem Staat, in dem sie ihren Sitz haben, einer wirksamen öffentlichen Aufsicht zum Schutz der Anleger unterliegen;</w:t>
      </w:r>
    </w:p>
    <w:p>
      <w:pPr>
        <w:ind w:left="420"/>
      </w:pPr>
      <w:r>
        <w:t xml:space="preserve">10. gegebenenfalls die nach § 175 oder § 272d erforderlichen Vereinbarungen für Master-Feeder-Strukturen.</w:t>
      </w:r>
    </w:p>
    <w:p>
      <w:r>
        <w:t xml:space="preserve">Fremdsprachige Unterlagen sind mit einer deutschen Übersetzung vorzulegen.</w:t>
      </w:r>
    </w:p>
    <w:p>
      <w:r>
        <w:t xml:space="preserve">(2) § 316 Absatz 2 und 3 ist mit der Maßgabe entsprechend anzuwenden, dass es statt „AIF-Kapitalverwaltungsgesellschaft“ „EU-AIF-Verwaltungsgesellschaft oder ausländische AIF-Verwaltungsgesellschaft“ heißen muss und dass die in § 316 Absatz 3 Satz 1 genannte Frist bei der Anzeige</w:t>
      </w:r>
    </w:p>
    <w:p>
      <w:pPr>
        <w:ind w:left="420"/>
      </w:pPr>
      <w:r>
        <w:t xml:space="preserve">1. einer EU-AIF-Verwaltungsgesellschaft oder ab dem Zeitpunkt, auf den in § 295 Absatz 2 Nummer 1 verwiesen wird, einer ausländischen AIF-Verwaltungsgesellschaft drei Monate,</w:t>
      </w:r>
    </w:p>
    <w:p>
      <w:pPr>
        <w:ind w:left="420"/>
      </w:pPr>
      <w:r>
        <w:t xml:space="preserve">2. einer ausländischen AIF-Verwaltungsgesellschaft vor dem Zeitpunkt, auf den in § 295 Absatz 2 Nummer 1 verwiesen wird, sechs Monate</w:t>
      </w:r>
    </w:p>
    <w:p>
      <w:r>
        <w:t xml:space="preserve">beträgt.</w:t>
      </w:r>
    </w:p>
    <w:p>
      <w:r>
        <w:t xml:space="preserve">(3) Hat die anzeigende ausländische AIF-Verwaltungsgesellschaft im Sinne von Absatz 1 Buchstabe b bereits einen AIF zum Vertrieb an Privatanleger im Geltungsbereich dieses Gesetzes nach Absatz 1 Satz 1 angezeigt, so prüft die Bundesanstalt bei der Anzeige eines weiteren AIF der gleichen Art nicht erneut das Vorliegen der Voraussetzungen nach § 317 Absatz 1 Satz 1 Nummer 1 und 3, wenn die anzeigende AIF-Verwaltungsgesellschaft im Anzeigeschreiben versichert, dass in Bezug auf die Anforderungen nach § 317 Absatz 1 Satz 1 Nummer 1 und 3 seit der letzten Anzeige keine Änderungen erfolgt sind. In diesem Fall müssen die in § 22 Absatz 1 Nummer 1 bis 9 genannten Angaben nicht eingereicht werden und die in Absatz 2 Nummer 2 genannte Frist beträgt drei Monate.</w:t>
      </w:r>
    </w:p>
    <w:p>
      <w:r>
        <w:t xml:space="preserve">(4) § 316 Absatz 4 Satz 1 bis 3 ist mit der Maßgabe entsprechend anzuwenden, dass es statt „AIF-Kapitalverwaltungsgesellschaft“ „EU-AIF-Verwaltungsgesellschaft oder ausländische AIF-Verwaltungsgesellschaft“ heißen muss. Wird eine geplante Änderung ungeachtet von § 316 Absatz 4 Satz 1 bis 3 durchgeführt oder führt eine durch einen unvorhersehbaren Umstand ausgelöste Änderung dazu, dass die EU-AIF-Verwaltungsgesellschaft, ausländische AIF-Verwaltungsgesellschaft oder die Verwaltung des betreffenden AIF durch die EU-AIF-Verwaltungsgesellschaft oder die ausländische AIF-Verwaltungsgesellschaft gegen dieses Gesetz verstößt, so ergreift die Bundesanstalt alle gebotenen Maßnahmen einschließlich der ausdrücklichen Untersagung des Vertriebs des betreffenden AIF. § 316 Absatz 5 gilt entsprechend.</w:t>
      </w:r>
    </w:p>
    <w:p>
      <w:r>
        <w:t xml:space="preserve">(5) Beabsichtigt eine EU-AIF-Verwaltungsgesellschaft, Anteile eines EU-AIF, der überwiegend in Anteile eines bestimmten Unternehmens investiert, im Geltungsbereich dieses Gesetzes nur an die Beschäftigten dieses Unternehmens oder der mit ihm verbundenen Unternehmen im Rahmen von Arbeitnehmerbeteiligungssystemen oder Arbeitnehmersparplänen zu vertreiben, so muss das Anzeigeschreiben abweichend von Absatz 1 Satz 2 folgende Angaben und Unterlagen in jeweils geltender Fassung enthalten:</w:t>
      </w:r>
    </w:p>
    <w:p>
      <w:pPr>
        <w:ind w:left="420"/>
      </w:pPr>
      <w:r>
        <w:t xml:space="preserve">1. eine Bescheinigung der zuständigen Stelle des Herkunftsmitgliedstaates der EU-AIF-Verwaltungsgesellschaft in einer in der internationalen Finanzwelt gebräuchlichen Sprache, dass die AIF-Verwaltungsgesellschaft und die Verwaltung des AIF durch diese der Richtlinie 2011/61/EU entsprechen;</w:t>
      </w:r>
    </w:p>
    <w:p>
      <w:pPr>
        <w:ind w:left="420"/>
      </w:pPr>
      <w:r>
        <w:t xml:space="preserve">2. das Anzeigeschreiben nach Anhang I der Durchführungsverordnung (EU) 2024/913;</w:t>
      </w:r>
    </w:p>
    <w:p>
      <w:pPr>
        <w:ind w:left="420"/>
      </w:pPr>
      <w:r>
        <w:t xml:space="preserve">3. das Basisinformationsblatt nach der Verordnung (EU) Nr. 1286/2014;</w:t>
      </w:r>
    </w:p>
    <w:p>
      <w:pPr>
        <w:ind w:left="420"/>
      </w:pPr>
      <w:r>
        <w:t xml:space="preserve">4. eine Bescheinigung der zuständigen Stelle des Herkunftsmitgliedstaates der EU-AIF-Verwaltungsgesellschaft, dass der Vertrieb solcher AIF an Privatanleger den Anforderungen des Herkunftsmitgliedstaates entspricht.</w:t>
      </w:r>
    </w:p>
    <w:p>
      <w:r>
        <w:rPr>
          <w:color w:val="555555"/>
          <w:sz w:val="17"/>
        </w:rPr>
        <w:t xml:space="preserve">Zitiervorschlag: § 320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