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318 KAGB — Verkaufsprospekt beim Vertrieb von EU-AIF oder von ausländischen AIF an Privatanleger</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Der Verkaufsprospekt des EU-AIF oder des ausländischen AIF muss mit einem Datum versehen sein und alle Angaben enthalten, die zum Zeitpunkt der Antragstellung für die Beurteilung der Anteile oder Aktien des EU-AIF oder des ausländischen AIF von wesentlicher Bedeutung sind. Er muss zumindest die in § 165 Absatz 2 bis 7 und 9 geforderten Angaben enthalten. Der Verkaufsprospekt eines geschlossenen AIF muss keine Angaben entsprechend § 165 Absatz 3 Nummer 2 und Absatz 4 bis 7, dafür aber Angaben entsprechend § 269 Absatz 2 Nummer 2 und 3 und Absatz 3 sowie einen Hinweis enthalten, wie die Anteile oder Aktien übertragen werden können und gegebenenfalls Hinweise entsprechend § 262 Absatz 1 Satz 4, § 262 Absatz 2 Satz 3, § 263 Absatz 5 Satz 2 und gegebenenfalls einen Hinweis, in welcher Weise ihre freie Handelbarkeit eingeschränkt ist. Der Verkaufsprospekt eines Feeder-AIF muss zusätzlich die Angaben nach § 173 Absatz 1 oder § 272b Absatz 1 enthalten. Darüber hinaus muss der Verkaufsprospekt eines EU-AIF oder ausländischen AIF insbesondere Angaben enthalten</w:t>
      </w:r>
    </w:p>
    <w:p>
      <w:pPr>
        <w:ind w:left="420"/>
      </w:pPr>
      <w:r>
        <w:t xml:space="preserve">1. über Name oder Firma, Rechtsform, Sitz und Höhe des gezeichneten und eingezahlten Kapitals (Grund- oder Stammkapital abzüglich der ausstehenden Einlagen zuzüglich der Rücklagen) des EU-AIF oder des ausländischen AIF, der AIF-Verwaltungsgesellschaft, des Unternehmens, das den Vertrieb der Anteile oder Aktien im Geltungsbereich dieses Gesetzes übernommen hat (Vertriebsgesellschaft), und der Verwahrstelle,</w:t>
      </w:r>
    </w:p>
    <w:p>
      <w:pPr>
        <w:ind w:left="420"/>
      </w:pPr>
      <w:r>
        <w:t xml:space="preserve">2. über Name oder Firma, Sitz und Anschrift des Repräsentanten und der Zahlstellen,</w:t>
      </w:r>
    </w:p>
    <w:p>
      <w:pPr>
        <w:ind w:left="420"/>
      </w:pPr>
      <w:r>
        <w:t xml:space="preserve">3. über die Voraussetzungen und Bedingungen, zu denen die Anleger die Auszahlung des auf den Anteil oder die Aktie entfallenden Vermögensteils verlangen können sowie über die für die Auszahlung zuständigen Stellen.</w:t>
      </w:r>
    </w:p>
    <w:p>
      <w:r>
        <w:t xml:space="preserve">Der Verkaufsprospekt muss ferner ausdrückliche Hinweise darauf enthalten, dass der EU-AIF oder der ausländische AIF und seine Verwaltungsgesellschaft nicht einer staatlichen Aufsicht durch die Bundesanstalt unterstehen. Die Bundesanstalt kann verlangen, dass in den Verkaufsprospekt weitere Angaben aufgenommen werden, wenn sie Grund zu der Annahme hat, dass die Angaben für den Erwerber erforderlich sind.</w:t>
      </w:r>
    </w:p>
    <w:p>
      <w:r>
        <w:t xml:space="preserve">(2) Der Verkaufsprospekt von EU-AIF und ausländischen AIF, die hinsichtlich ihrer Anlagepolitik Anforderungen unterliegen, die denen von Dach-Hedgefonds nach § 225 Absatz 1 und 2 vergleichbar sind, muss darüber hinaus Angaben entsprechend den in § 228 genannten Angaben enthalten. Der Verkaufsprospekt von EU-AIF oder ausländischen AIF, die hinsichtlich ihrer Anlagepolitik Anforderungen unterliegen, die denen von Sonstigen Investmentvermögen nach den §§ 220, 221, 222 vergleichbar sind, muss darüber hinaus Angaben entsprechend den in § 224 Absatz 1 genannten Angaben enthalten. Der Verkaufsprospekt von EU-AIF oder ausländischen AIF, die hinsichtlich ihrer Anlagepolitik Anforderungen unterliegen, die denen von Immobilien-Sondervermögen nach § 230 vergleichbar sind, muss darüber hinaus Angaben entsprechend den Angaben nach § 256 Absatz 1 enthalten. Der Verkaufsprospekt von EU-AIF oder ausländischen AIF, die hinsichtlich ihrer Anlagepolitik Anforderungen unterliegen, die denen von Infrastruktur-Sondervermögen nach § 260a vergleichbar sind, muss darüber hinaus Angaben entsprechend den Angaben nach § 260d Absatz 1 enthalten.</w:t>
      </w:r>
    </w:p>
    <w:p>
      <w:r>
        <w:t xml:space="preserve">(3) Für EU-AIF-Verwaltungsgesellschaften oder ausländische AIF-Verwaltungsgesellschaften, die nach der Verordnung (EU) 2017/1129 einen Prospekt zu veröffentlichen haben, bestimmen sich die in diesen Prospekt aufzunehmenden Mindestangaben nach der Verordnung (EU) 2017/1129 und den Vorgaben in den Kapiteln II bis IV der Delegierten Verordnung (EU) 2019/980. Enthält dieser Prospekt zusätzlich die in den Absätzen 1 und 2 geforderten Angaben, muss darüber hinaus kein Verkaufsprospekt erstellt werden. Die Absätze 4 und 6 gelten entsprechend.</w:t>
      </w:r>
    </w:p>
    <w:p>
      <w:r>
        <w:t xml:space="preserve">(4) Außerdem ist dem Verkaufsprospekt als Anlage beizufügen:</w:t>
      </w:r>
    </w:p>
    <w:p>
      <w:pPr>
        <w:ind w:left="420"/>
      </w:pPr>
      <w:r>
        <w:t xml:space="preserve">1. ein Jahresbericht nach § 299 Absatz 1 Satz 1 Nummer 3, dessen Stichtag nicht länger als 16 Monate zurückliegen darf, und</w:t>
      </w:r>
    </w:p>
    <w:p>
      <w:pPr>
        <w:ind w:left="420"/>
      </w:pPr>
      <w:r>
        <w:t xml:space="preserve">2. bei offenen AIF, wenn der Stichtag des Jahresberichts länger als acht Monate zurückliegt, auch ein Halbjahresbericht nach § 299 Absatz 1 Satz 1 Nummer 4.</w:t>
      </w:r>
    </w:p>
    <w:p>
      <w:r>
        <w:t xml:space="preserve">(5) (weggefallen)</w:t>
      </w:r>
    </w:p>
    <w:p>
      <w:r>
        <w:t xml:space="preserve">(6) Angaben von wesentlicher Bedeutung im Verkaufsprospekt sind auf dem neusten Stand zu halten. Bei geschlossenen AIF mit einer einmaligen Vertriebsphase gilt dies nur für die Dauer der Vertriebsphase.</w:t>
      </w:r>
    </w:p>
    <w:p>
      <w:r>
        <w:t xml:space="preserve">(7) Vertreibt eine EU-AIF-Verwaltungsgesellschaft Anteile eines EU-AIF, der überwiegend in Anteile eines bestimmten Unternehmens investiert, im Geltungsbereich dieses Gesetzes nur an die Beschäftigten dieses Unternehmens oder der mit ihm verbundenen Unternehmen im Rahmen von Arbeitnehmerbeteiligungssystemen oder Arbeitnehmersparplänen, so gelten für den Verkaufsprospekt dieses EU-AIF ausschließlich die Anforderungen des Herkunftsmitgliedstaates des EU-AIF.</w:t>
      </w:r>
    </w:p>
    <w:p>
      <w:r>
        <w:rPr>
          <w:color w:val="555555"/>
          <w:sz w:val="17"/>
        </w:rPr>
        <w:t xml:space="preserve">Zitiervorschlag: § 318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