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317 KAGB — Zulässigkeit des Vertriebs von EU-AIF oder von ausländischen AIF an Privatanleger</w:t>
      </w:r>
    </w:p>
    <w:p>
      <w:r>
        <w:rPr>
          <w:color w:val="555555"/>
          <w:sz w:val="18"/>
        </w:rPr>
        <w:t xml:space="preserve">Kapitalanlagegesetzbuch</w:t>
      </w:r>
    </w:p>
    <w:p>
      <w:r>
        <w:rPr>
          <w:color w:val="555555"/>
          <w:sz w:val="18"/>
        </w:rPr>
        <w:t xml:space="preserve">Stand: 18.04.2026 (konsolidierte Textfassung, kein amtliches Inkrafttretensdatum)</w:t>
      </w:r>
    </w:p>
    <w:p>
      <w:r>
        <w:t xml:space="preserve">(1) Der Vertrieb von EU-AIF und ausländischen AIF durch eine EU-AIF-Verwaltungsgesellschaft oder eine ausländische AIF-Verwaltungsgesellschaft an Privatanleger im Geltungsbereich dieses Gesetzes ist nur zulässig, wenn</w:t>
      </w:r>
    </w:p>
    <w:p>
      <w:pPr>
        <w:ind w:left="420"/>
      </w:pPr>
      <w:r>
        <w:t xml:space="preserve">1. der AIF und seine Verwaltungsgesellschaft im Staat ihres gemeinsamen Sitzes einer wirksamen öffentlichen Aufsicht zum Schutz der Anleger unterliegen;</w:t>
      </w:r>
    </w:p>
    <w:p>
      <w:pPr>
        <w:ind w:left="420"/>
      </w:pPr>
      <w:r>
        <w:t xml:space="preserve">2. die zuständigen Aufsichtsstellen des Sitzstaates zu einer nach den Erfahrungen der Bundesanstalt befriedigenden Zusammenarbeit mit der Bundesanstalt entsprechend den §§ 9 und 10 bereit sind;</w:t>
      </w:r>
    </w:p>
    <w:p>
      <w:pPr>
        <w:ind w:left="420"/>
      </w:pPr>
      <w:r>
        <w:t xml:space="preserve">3. die AIF-Verwaltungsgesellschaft und die Verwaltung des angezeigten AIF durch sie den Anforderungen der Richtlinie 2011/61/EU entsprechen;</w:t>
      </w:r>
    </w:p>
    <w:p>
      <w:pPr>
        <w:ind w:left="420"/>
      </w:pPr>
      <w:r>
        <w:t xml:space="preserve">4. die ausländische AIF-Verwaltungsgesellschaft der Bundesanstalt ein inländisches Kreditinstitut oder eine zuverlässige, fachlich geeignete Person mit Sitz oder Wohnsitz im Geltungsbereich dieses Gesetzes als Repräsentanten benennt, die hinreichend ausgestattet ist, um die Compliance-Funktion entsprechend § 57 Absatz 3 Satz 4 wahrnehmen zu können;</w:t>
      </w:r>
    </w:p>
    <w:p>
      <w:pPr>
        <w:ind w:left="420"/>
      </w:pPr>
      <w:r>
        <w:t xml:space="preserve">5. eine Verwahrstelle die Gegenstände des AIF in einer Weise sichert, die den Vorschriften der §§ 80 bis 90 vergleichbar ist;</w:t>
      </w:r>
    </w:p>
    <w:p>
      <w:pPr>
        <w:ind w:left="420"/>
      </w:pPr>
      <w:r>
        <w:t xml:space="preserve">6. eine Einrichtung gemäß § 306a bereitgestellt wird;</w:t>
      </w:r>
    </w:p>
    <w:p>
      <w:pPr>
        <w:ind w:left="420"/>
      </w:pPr>
      <w:r>
        <w:t xml:space="preserve">7. die Anlagebedingungen, die Satzung oder der Gesellschaftsvertrag</w:t>
      </w:r>
    </w:p>
    <w:p>
      <w:pPr>
        <w:ind w:left="780"/>
      </w:pPr>
      <w:r>
        <w:t xml:space="preserve">a) bei offenen AIF die Mindestinhalte nach § 162 und gegebenenfalls</w:t>
      </w:r>
    </w:p>
    <w:p>
      <w:pPr>
        <w:ind w:left="1140"/>
      </w:pPr>
      <w:r>
        <w:t xml:space="preserve">aa) bei mit Sonstigen Investmentvermögen vergleichbaren AIF die Angaben nach § 224 Absatz 2,</w:t>
      </w:r>
    </w:p>
    <w:p>
      <w:pPr>
        <w:ind w:left="1140"/>
      </w:pPr>
      <w:r>
        <w:t xml:space="preserve">bb) bei mit Dach-Hedgefonds vergleichbaren AIF die Angaben nach § 229,</w:t>
      </w:r>
    </w:p>
    <w:p>
      <w:pPr>
        <w:ind w:left="1140"/>
      </w:pPr>
      <w:r>
        <w:t xml:space="preserve">cc) bei mit Immobilien-Sondervermögen vergleichbaren AIF die Angaben nach § 256 Absatz 2,</w:t>
      </w:r>
    </w:p>
    <w:p>
      <w:pPr>
        <w:ind w:left="1140"/>
      </w:pPr>
      <w:r>
        <w:t xml:space="preserve">dd) bei mit Infrastruktur-Sondervermögen vergleichbaren AIF die Angaben nach § 260d Absatz 2</w:t>
      </w:r>
    </w:p>
    <w:p>
      <w:pPr>
        <w:ind w:left="780"/>
      </w:pPr>
      <w:r>
        <w:t xml:space="preserve">aufweisen,</w:t>
      </w:r>
    </w:p>
    <w:p>
      <w:pPr>
        <w:ind w:left="780"/>
      </w:pPr>
      <w:r>
        <w:t xml:space="preserve">b) bei geschlossenen AIF die Mindestinhalte nach § 266 aufweisen,</w:t>
      </w:r>
    </w:p>
    <w:p>
      <w:pPr>
        <w:ind w:left="780"/>
      </w:pPr>
      <w:r>
        <w:t xml:space="preserve">c) Regelungen enthalten, die bei offenen AIF die Einhaltung der Vorschriften in den §§ 192 bis 213 oder den §§ 218, 219 oder den §§ 220, 221, 222 oder § 225 oder den §§ 230 bis 246, 252 bis 254, 258 bis 260 und bei geschlossenen AIF die Einhaltung der Vorschriften in den §§ 261 bis 265 sicherstellen,</w:t>
      </w:r>
    </w:p>
    <w:p>
      <w:pPr>
        <w:ind w:left="780"/>
      </w:pPr>
      <w:r>
        <w:t xml:space="preserve">d) vorsehen, dass die zum AIF gehörenden Vermögensgegenstände nicht verpfändet oder sonst belastet, zur Sicherung übereignet oder zur Sicherung abgetreten werden dürfen, es sei denn, es werden für den AIF Kredite unter Berücksichtigung der Anforderungen nach den §§ 199, 221 Absatz 6, nach § 254 aufgenommen, einem Dritten Optionsrechte eingeräumt oder Wertpapierpensionsgeschäfte nach § 203 oder Finanzterminkontrakte, Devisenterminkontrakte, Swaps oder ähnliche Geschäfte nach Maßgabe des § 197 abgeschlossen,</w:t>
      </w:r>
    </w:p>
    <w:p>
      <w:pPr>
        <w:ind w:left="780"/>
      </w:pPr>
      <w:r>
        <w:t xml:space="preserve">e) bei offenen AIF mit Ausnahme von offenen Immobilien-Investmentvermögen oder offenen Infrastruktur-Investmentvermögen vorsehen, dass die Anleger grundsätzlich täglich die Auszahlung des auf den Anteil oder die Aktie entfallenden Vermögensteils verlangen können, es sei denn, sie sehen bei mit Sonstigen Investmentvermögen vergleichbaren AIF Regelungen entsprechend § 223 Absatz 1, bei mit Sonstigen Investmentvermögen mit Anlagemöglichkeiten entsprechend § 222 Absatz 1 vergleichbaren AIF Regelungen entsprechend § 223 Absatz 2 oder bei mit Dach-Hedgefonds vergleichbaren AIF Regelungen entsprechend § 227 vor,</w:t>
      </w:r>
    </w:p>
    <w:p>
      <w:pPr>
        <w:ind w:left="780"/>
      </w:pPr>
      <w:r>
        <w:t xml:space="preserve">f) bei mit Immobilien-Sondervermögen vergleichbaren Investmentvermögen eine Regelung entsprechend den §§ 255, 257 vorsehen,</w:t>
      </w:r>
    </w:p>
    <w:p>
      <w:pPr>
        <w:ind w:left="780"/>
      </w:pPr>
      <w:r>
        <w:t xml:space="preserve">g) bei geschlossenen AIF vorsehen, dass die Anleger zumindest am Ende der Laufzeit die Auszahlung des auf den Anteil oder die Aktie entfallenden Vermögensteils verlangen können,</w:t>
      </w:r>
    </w:p>
    <w:p>
      <w:pPr>
        <w:ind w:left="780"/>
      </w:pPr>
      <w:r>
        <w:t xml:space="preserve">h) Regelungen enthalten, die sicherstellen, dass die Bewertung des AIF bei offenen AIF in einer den §§ 168 bis 170, 216 und 217, bei mit Immobilien-Sondervermögen oder Infrastruktur-Sondervermögen vergleichbaren AIF unter Berücksichtigung der Sonderregelung in den §§ 248 bis 251 und bei geschlossenen AIF in einer den §§ 271 und 272 entsprechenden Weise erfolgt,</w:t>
      </w:r>
    </w:p>
    <w:p>
      <w:pPr>
        <w:ind w:left="780"/>
      </w:pPr>
      <w:r>
        <w:t xml:space="preserve">i) vorsehen, dass eine Kostenvorausbelastung nach Maßgabe des § 304 eingeschränkt ist und dass im Jahresbericht und gegebenenfalls in den Halbjahresberichten die Angaben gemäß § 101 Absatz 2 Nummer 4 zu machen sind,</w:t>
      </w:r>
    </w:p>
    <w:p>
      <w:pPr>
        <w:ind w:left="780"/>
      </w:pPr>
      <w:r>
        <w:t xml:space="preserve">j) bei mit Infrastruktur-Sondervermögen vergleichbaren Investmentvermögen eine Regelung entsprechend § 260c, § 260a in Verbindung mit den §§ 255, 257 vorsehen;</w:t>
      </w:r>
    </w:p>
    <w:p>
      <w:pPr>
        <w:ind w:left="420"/>
      </w:pPr>
      <w:r>
        <w:t xml:space="preserve">8. die in § 297 Absatz 2 bis 6, 8 und 9, in den §§ 299 bis 301, 303 Absatz 1 und 3 und in § 318 genannten Pflichten zur Unterrichtung der am Erwerb eines Anteils oder einer Aktie Interessierten oder des Anlegers ordnungsgemäß erfüllt werden.</w:t>
      </w:r>
    </w:p>
    <w:p>
      <w:r>
        <w:t xml:space="preserve">(2) Sofern es sich bei dem angezeigten AIF um einen ausländischen AIF handelt, der von einer ausländischen AIF-Verwaltungsgesellschaft verwaltet wird, ist der Vertrieb nur zulässig, wenn zusätzlich folgende Anforderungen erfüllt sind:</w:t>
      </w:r>
    </w:p>
    <w:p>
      <w:pPr>
        <w:ind w:left="420"/>
      </w:pPr>
      <w:r>
        <w:t xml:space="preserve">1. Es bestehen geeignete Vereinbarungen über die Zusammenarbeit zwischen der Bundesanstalt und den für die Aufsicht zuständigen Stellen des Drittstaates, in dem der ausländische AIF und die ausländische AIF-Verwaltungsgesellschaft ihren Sitz haben; die Vereinbarungen müssen</w:t>
      </w:r>
    </w:p>
    <w:p>
      <w:pPr>
        <w:ind w:left="780"/>
      </w:pPr>
      <w:r>
        <w:t xml:space="preserve">a) der Überwachung von Systemrisiken dienen,</w:t>
      </w:r>
    </w:p>
    <w:p>
      <w:pPr>
        <w:ind w:left="780"/>
      </w:pPr>
      <w:r>
        <w:t xml:space="preserve">b) im Einklang mit den internationalen Standards und den Artikeln 113 bis 115 der Delegierten Verordnung (EU) Nr. 231/2013 stehen und</w:t>
      </w:r>
    </w:p>
    <w:p>
      <w:pPr>
        <w:ind w:left="780"/>
      </w:pPr>
      <w:r>
        <w:t xml:space="preserve">c) einen wirksamen Informationsaustausch gewährleisten, der es der Bundesanstalt ermöglicht, ihre in § 5 festgelegten Aufgaben zu erfüllen.</w:t>
      </w:r>
    </w:p>
    <w:p>
      <w:pPr>
        <w:ind w:left="420"/>
      </w:pPr>
      <w:r>
        <w:t xml:space="preserve">2. Der Herkunftsstaat des angezeigten AIF steht nicht auf der Liste der nicht kooperativen Länder und Gebiete, die von der Arbeitsgruppe „Finanzielle Maßnahmen gegen die Geldwäsche und die Terrorismusfinanzierung“ aufgestellt wurde.</w:t>
      </w:r>
    </w:p>
    <w:p>
      <w:pPr>
        <w:ind w:left="420"/>
      </w:pPr>
      <w:r>
        <w:t xml:space="preserve">3. Der Herkunftsstaat des angezeigten AIF hat mit der Bundesrepublik Deutschland eine Vereinbarung unterzeichnet, die den Normen gemäß Artikel 26 des OECD-Musterabkommens zur Vermeidung der Doppelbesteuerung von Einkommen und Vermögen vollständig entspricht und einen wirksamen Informationsaustausch in Steuerangelegenheiten, gegebenenfalls einschließlich multilateraler Abkommen über die Besteuerung, gewährleistet.</w:t>
      </w:r>
    </w:p>
    <w:p>
      <w:r>
        <w:t xml:space="preserve">(3) Ist der angezeigte AIF ein Feeder-AIF, müssen zusätzlich zu den Anforderungen nach Absatz 1 und gegebenenfalls nach Absatz 2 in Bezug auf den Feeder-AIF zumindest folgende Anforderungen erfüllt sein:</w:t>
      </w:r>
    </w:p>
    <w:p>
      <w:pPr>
        <w:ind w:left="420"/>
      </w:pPr>
      <w:r>
        <w:t xml:space="preserve">1. der Master-AIF und dessen Verwaltungsgesellschaft müssen denselben Herkunftsstaat haben wie der Feeder-AIF und dessen Verwaltungsgesellschaft,</w:t>
      </w:r>
    </w:p>
    <w:p>
      <w:pPr>
        <w:ind w:left="420"/>
      </w:pPr>
      <w:r>
        <w:t xml:space="preserve">2. die Anlagebedingungen, die Satzung oder der Gesellschaftsvertrag des Master-AIF müssen Regelungen enthalten, die die Einhaltung der Vorschriften der §§ 220, 221 und 222 oder der §§ 261 bis 265 sicherstellen,</w:t>
      </w:r>
    </w:p>
    <w:p>
      <w:pPr>
        <w:ind w:left="420"/>
      </w:pPr>
      <w:r>
        <w:t xml:space="preserve">3. der Master-AIF und dessen Verwaltungsgesellschaft müssen die Voraussetzungen der §§ 317 bis 319 erfüllen und das Anzeigeverfahren gemäß § 320 erfolgreich abgeschlossen haben,</w:t>
      </w:r>
    </w:p>
    <w:p>
      <w:pPr>
        <w:ind w:left="420"/>
      </w:pPr>
      <w:r>
        <w:t xml:space="preserve">4. die Anlagebedingungen oder die Satzung des Feeder-AIF müssen eine Bezeichnung des Master-AIF enthalten, in dessen Anteile oder Aktien mindestens 85 Prozent des Wertes des Feeder-AIF angelegt werden und gewährleisten, dass die Anleger in einer Art und Weise geschützt werden, die mit den Vorschriften dieses Gesetzes in Bezug auf Master-Feeder-Konstruktionen im Bereich der Publikumsinvestmentvermögen vergleichbar ist,</w:t>
      </w:r>
    </w:p>
    <w:p>
      <w:pPr>
        <w:ind w:left="420"/>
      </w:pPr>
      <w:r>
        <w:t xml:space="preserve">5. die in § 175 oder § 272d vorgesehenen Vereinbarungen wurden abgeschlossen.</w:t>
      </w:r>
    </w:p>
    <w:p>
      <w:r>
        <w:t xml:space="preserve">(4) Vertreibt eine EU-AIF-Verwaltungsgesellschaft Anteile eines EU-AIF, der überwiegend in Anteile eines bestimmten Unternehmens investiert, im Geltungsbereich dieses Gesetzes nur an die Beschäftigten dieses Unternehmens oder der mit ihm verbundenen Unternehmen im Rahmen von Arbeitnehmerbeteiligungssystemen oder Arbeitnehmersparplänen, so gilt Absatz 1 mit der Maßgabe, dass die Nummern 1, 7 und 8 keine Anwendung finden und stattdessen die Anforderungen des Herkunftsmitgliedstaates des EU-AIF in Bezug auf den Vertrieb solcher AIF an Privatanleger Anwendung finden.</w:t>
      </w:r>
    </w:p>
    <w:p>
      <w:r>
        <w:rPr>
          <w:color w:val="555555"/>
          <w:sz w:val="17"/>
        </w:rPr>
        <w:t xml:space="preserve">Zitiervorschlag: § 317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https://recht.nulegal.eu/gesetze/KAGB/317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