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315 KAGB — Einstellung des Vertriebs von AIF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11.05.2022 (konsolidierte Textfassung, kein amtliches Inkrafttretensdatum)</w:t>
      </w:r>
    </w:p>
    <w:p>
      <w:r>
        <w:t xml:space="preserve">(1) Stellt eine AIF-Kapitalverwaltungsgesellschaft den Vertrieb von Anteilen oder Aktien eines von ihr verwalteten und nach § 316 vertriebenen AIF im Geltungsbereich dieses Gesetzes gegenüber einer, mehreren oder allen Anlegergruppen im Sinne des § 1 Absatz 19 Nummer 31 bis 33 ein, so hat die AIF-Kapitalverwaltungsgesellschaft dies unverzüglich im Bundesanzeiger zu veröffentlichen und die Veröffentlichung der Bundesanstalt nachzuweisen. Die Bundesanstalt kann die Veröffentlichung auf Kosten der AIF-Kapitalverwaltungsgesellschaft vornehmen, wenn die Veröffentlichungspflicht auch nach Fristsetzung durch die Bundesanstalt nicht erfüllt wird. Absatz 2 bleibt unberührt.</w:t>
      </w:r>
    </w:p>
    <w:p>
      <w:r>
        <w:t xml:space="preserve">(2) Stellt eine AIF-Kapitalverwaltungsgesellschaft den Vertrieb von einzelnen Teilinvestmentvermögen eines AIF gegenüber einer, mehreren oder allen Anlegergruppen im Sinne des § 1 Absatz 19 Nummer 31 bis 33 im Geltungsbereich dieses Gesetzes ein, so hat sie § 293 Absatz 1 Satz 2 Nummer 3 bei Änderungen der im Anzeigeverfahren eingereichten Angaben und Unterlagen zu berücksichtigen. Die AIF-Kapitalverwaltungsgesellschaft hat die Einstellung des Vertriebs von Anteilen oder Aktien an nach § 316 vertriebenen AIF unverzüglich im Bundesanzeiger zu veröffentlichen und dies der Bundesanstalt nachzuweisen. Die Bundesanstalt kann die Veröffentlichung auf Kosten der AIF-Kapitalverwaltungsgesellschaft vornehmen, wenn die Veröffentlichungspflicht auch nach Fristsetzung nicht erfüllt wird.</w:t>
      </w:r>
    </w:p>
    <w:p>
      <w:r>
        <w:rPr>
          <w:color w:val="555555"/>
          <w:sz w:val="17"/>
        </w:rPr>
        <w:t xml:space="preserve">Zitiervorschlag: § 315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315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