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313 KAGB — Veröffentlichungspflichten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Die OGAW-Kapitalverwaltungsgesellschaft oder die EU-OGAW-Verwaltungsgesellschaft hat sämtliche in § 312 Absatz 1 und 2 genannten Unterlagen sowie deren Änderungen auf ihrer Internetseite oder einer Internetseite, die sie im Anzeigeschreiben gemäß Anhang I der Durchführungsverordnung (EU) 2024/910 genannt hat, zu veröffentlichen. Sie hat den zuständigen Stellen des Aufnahmestaates Zugang zu dieser Internetseite zu gewähren.</w:t>
      </w:r>
    </w:p>
    <w:p>
      <w:r>
        <w:t xml:space="preserve">(2) Die OGAW-Kapitalverwaltungsgesellschaft oder die EU-OGAW-Verwaltungsgesellschaft hat die veröffentlichten Unterlagen und Übersetzungen auf dem neuesten Stand zu halten. Die OGAW-Kapitalverwaltungsgesellschaft oder die EU-OGAW-Verwaltungsgesellschaft hat die zuständigen Stellen des Aufnahmestaates auf elektronischem Wege über jede Änderung an den in § 312 genannten Unterlagen sowie darüber, wo diese Unterlagen im Internet verfügbar sind, zu unterrichten. Die OGAW-Kapitalverwaltungsgesellschaft oder die EU-OGAW-Verwaltungsgesellschaft hat hierbei entweder die Änderungen oder Aktualisierungen zu beschreiben oder eine geänderte Fassung des jeweiligen Dokuments als Anlage in einem gebräuchlichen elektronischen Format beizufügen.</w:t>
      </w:r>
    </w:p>
    <w:p>
      <w:r>
        <w:rPr>
          <w:color w:val="555555"/>
          <w:sz w:val="17"/>
        </w:rPr>
        <w:t xml:space="preserve">Zitiervorschlag: § 313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