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KAGB — Primebroker</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Nimmt die AIF-Kapitalverwaltungsgesellschaft für Rechnung des AIF die Dienstleistungen eines Primebrokers in Anspruch, müssen die Bedingungen in einem in Textform geschlossenen Vertrag vereinbart werden. Insbesondere muss die Möglichkeit einer Übertragung und Wiederverwendung von Vermögensgegenständen des AIF in diesem Vertrag vereinbart werden und den Anlagebedingungen, der Satzung oder des Gesellschaftsvertrages des AIF entsprechen. In dem Vertrag muss festgelegt werden, dass die Verwahrstelle über den Vertrag in Kenntnis gesetzt wird.</w:t>
      </w:r>
    </w:p>
    <w:p>
      <w:r>
        <w:t xml:space="preserve">(2) Die AIF-Kapitalverwaltungsgesellschaft hat die Auswahl und Benennung der Primebroker, mit denen ein Vertrag geschlossen wird, mit der gebotenen Sachkenntnis, Sorgfalt und Gewissenhaftigkeit vorzunehmen.</w:t>
      </w:r>
    </w:p>
    <w:p>
      <w:r>
        <w:rPr>
          <w:color w:val="555555"/>
          <w:sz w:val="17"/>
        </w:rPr>
        <w:t xml:space="preserve">Zitiervorschlag: § 31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