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KAGB — Auswahl von Liquiditätsmanagementinstrumenten;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Kapitalverwaltungsgesellschaft hat für jedes von ihr verwaltete offene Investmentvermögen mindestens zwei geeignete Liquiditätsmanagementinstrumente auszuwählen. Für OGAW muss die Auswahl aus der Liste in Anhang IIA Nummer 2 bis 8 der Richtlinie 2009/65/EG und für AIF muss die Auswahl aus der Liste in Anhang V Nummer 2 bis 8 der Richtlinie 2011/61/EU erfolgen. Für OGAW darf sich die Auswahl nicht ausschließlich auf die Instrumente der Nummern 5 und 6 in Anhang IIA der Richtlinie 2009/65/EG beschränken. Für AIF darf sich die Auswahl nicht ausschließlich auf die Instrumente der Nummern 5 und 6 in Anhang V der Richtlinie 2011/61/EU beschränken.</w:t>
      </w:r>
    </w:p>
    <w:p>
      <w:r>
        <w:t xml:space="preserve">(2) Eine Kapitalverwaltungsgesellschaft hat vor der Auswahl nach Absatz 1 die Eignung im Hinblick auf die verfolgte Anlagestrategie, das Liquiditätsprofil und die Rücknahmepolitik des Investmentvermögens zu bewerten. Die Kapitalverwaltungsgesellschaft hat detaillierte Strategien und Verfahren für die Aktivierung und die Deaktivierung der ausgewählten Liquiditätsmanagementinstrumente und operative und administrative Vorkehrungen für den Einsatz solcher Instrumente umzusetzen. Die Kapitalverwaltungsgesellschaft hat die nach Absatz 1 ausgewählten Liquiditätsmanagementinstrumente in die Anlagebedingungen oder die Satzung des Investmentvermögens aufzunehmen, sofern es sich um Liquiditätsmanagementinstrumente aus der Liste in Anhang IIA Nummer 2 bis 8 der Richtlinie 2009/65/EG oder aus der Liste in Anhang V Nummer 2 bis 8 der Richtlinie 2011/61/EU handelt.</w:t>
      </w:r>
    </w:p>
    <w:p>
      <w:r>
        <w:t xml:space="preserve">(3) Abweichend von Absatz 1 kann eine Kapitalverwaltungsgesellschaft beschließen, für Geldmarktfonds im Sinne der Verordnung (EU) 2017/1131 nur ein geeignetes Liquiditätsmanagementinstrument aus der Liste in Anhang IIA Nummer 2 bis 8 der Richtlinie 2009/65/EG oder aus der Liste in Anhang V Nummer 2 bis 8 der Richtlinie 2011/61/EU auszuwählen.</w:t>
      </w:r>
    </w:p>
    <w:p>
      <w:r>
        <w:t xml:space="preserve">(4) Das Bundesministerium der Finanzen wird ermächtigt, durch Rechtsverordnung, die nicht der Zustimmung des Bundesrates bedarf, für Kapitalverwaltungsgesellschaften in Bezug auf die Auswahl und den Einsatz von Liquiditätsmanagementinstrumenten zusätzliche Bestimmungen zu erlassen. Das Bundesministerium der Finanzen kann die Ermächtigung durch Rechtsverordnung auf die Bundesanstalt übertragen.</w:t>
      </w:r>
    </w:p>
    <w:p>
      <w:r>
        <w:rPr>
          <w:color w:val="555555"/>
          <w:sz w:val="17"/>
        </w:rPr>
        <w:t xml:space="preserve">Zitiervorschlag: § 30a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