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308 KAGB — Sonstige Informationspflichten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EU-AIF-Verwaltungsgesellschaft und die ausländische AIF-Verwaltungsgesellschaft haben den semiprofessionellen und den professionellen Anlegern eines EU-AIF oder ausländischen AIF im Geltungsbereich dieses Gesetzes spätestens sechs Monate nach Ende eines jeden Geschäftsjahres auf Verlangen den geprüften und testierten Jahresbericht nach Artikel 22 der Richtlinie 2011/61/EU zur Verfügung zu stellen.</w:t>
      </w:r>
    </w:p>
    <w:p>
      <w:r>
        <w:t xml:space="preserve">(2) Der Jahresbericht muss folgende Angaben enthalten:</w:t>
      </w:r>
    </w:p>
    <w:p>
      <w:pPr>
        <w:ind w:left="420"/>
      </w:pPr>
      <w:r>
        <w:t xml:space="preserve">1. eine Vermögensaufstellung,</w:t>
      </w:r>
    </w:p>
    <w:p>
      <w:pPr>
        <w:ind w:left="420"/>
      </w:pPr>
      <w:r>
        <w:t xml:space="preserve">2. eine Aufwands- und Ertragsrechnung,</w:t>
      </w:r>
    </w:p>
    <w:p>
      <w:pPr>
        <w:ind w:left="420"/>
      </w:pPr>
      <w:r>
        <w:t xml:space="preserve">3. einen Bericht über die Tätigkeiten der AIF-Verwaltungsgesellschaft im vergangenen Geschäftsjahr und</w:t>
      </w:r>
    </w:p>
    <w:p>
      <w:pPr>
        <w:ind w:left="420"/>
      </w:pPr>
      <w:r>
        <w:t xml:space="preserve">4. die in § 299 Absatz 1 Satz 1 Nummer 3 Buchstabe e bis h genannten Angaben.</w:t>
      </w:r>
    </w:p>
    <w:p>
      <w:r>
        <w:t xml:space="preserve">§ 299 Absatz 1 Satz 2 gilt entsprechend.</w:t>
      </w:r>
    </w:p>
    <w:p>
      <w:r>
        <w:t xml:space="preserve">(3) Ist der AIF nach der Richtlinie 2004/109/EG verpflichtet, Jahresfinanzberichte zu veröffentlichen, so sind dem Anleger die Angaben nach Absatz 2 auf Verlangen gesondert oder in Form einer Ergänzung zum Jahresfinanzbericht zur Verfügung zu stellen. In letzterem Fall ist der Jahresfinanzbericht spätestens vier Monate nach Ende des Geschäftsjahres zu veröffentlichen.</w:t>
      </w:r>
    </w:p>
    <w:p>
      <w:r>
        <w:t xml:space="preserve">(4) Die AIF-Verwaltungsgesellschaft informiert die Anleger unverzüglich über alle Änderungen, die sich in Bezug auf die Haftung der Verwahrstelle ergeben. Zudem gilt § 300 Absatz 1 bis 3 entsprechend.</w:t>
      </w:r>
    </w:p>
    <w:p>
      <w:r>
        <w:rPr>
          <w:color w:val="555555"/>
          <w:sz w:val="17"/>
        </w:rPr>
        <w:t xml:space="preserve">Zitiervorschlag: § 308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