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307 KAGB — Informationspflichten gegenüber semiprofessionellen und professionellen Anlegern und Haftung</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Dem am Erwerb eines Anteils oder einer Aktie interessierten professionellen Anleger oder semiprofessionellen Anleger ist vor Vertragsschluss der letzte Jahresbericht nach den §§ 67, 101, 102, 106, 107, 120 bis 123, 135 bis 137, 148, 158 bis 161 oder Artikel 22 der Richtlinie 2011/61/EU zur Verfügung zu stellen. Zusätzlich sind ihm folgende Informationen einschließlich aller wesentlichen Änderungen in der in den Anlagebedingungen, der Satzung oder des Gesellschaftsvertrages des AIF festgelegten Art und Weise zur Verfügung zu stellen:</w:t>
      </w:r>
    </w:p>
    <w:p>
      <w:pPr>
        <w:ind w:left="420"/>
      </w:pPr>
      <w:r>
        <w:t xml:space="preserve">1. der Name sowie eine Beschreibung der Anlagestrategie und der Ziele des AIF;</w:t>
      </w:r>
    </w:p>
    <w:p>
      <w:pPr>
        <w:ind w:left="420"/>
      </w:pPr>
      <w:r>
        <w:t xml:space="preserve">2. eine Beschreibung der Art der Vermögenswerte, in die der AIF investieren darf, und der Techniken, die er einsetzen darf, und aller damit verbundenen Risiken;</w:t>
      </w:r>
    </w:p>
    <w:p>
      <w:pPr>
        <w:ind w:left="420"/>
      </w:pPr>
      <w:r>
        <w:t xml:space="preserve">3. eine Beschreibung etwaiger Anlagebeschränkungen;</w:t>
      </w:r>
    </w:p>
    <w:p>
      <w:pPr>
        <w:ind w:left="420"/>
      </w:pPr>
      <w:r>
        <w:t xml:space="preserve">4. Angaben über den Sitz eines eventuellen Master-AIF und über den Sitz der Zielinvestmentvermögen, wenn es sich bei dem AIF um ein Dach-Investmentvermögen handelt;</w:t>
      </w:r>
    </w:p>
    <w:p>
      <w:pPr>
        <w:ind w:left="420"/>
      </w:pPr>
      <w:r>
        <w:t xml:space="preserve">5. eine Beschreibung der Umstände, unter denen der AIF Leverage einsetzen kann, Art und Quellen des zulässigen Leverage und damit verbundener Risiken, Beschreibung sonstiger Beschränkungen für den Einsatz von Leverage sowie des maximalen Umfangs des Leverage, den die AIF-Verwaltungsgesellschaft für Rechnung des AIF einsetzen darf, und der Handhabung der Wiederverwendung von Sicherheiten und Vermögenswerten;</w:t>
      </w:r>
    </w:p>
    <w:p>
      <w:pPr>
        <w:ind w:left="420"/>
      </w:pPr>
      <w:r>
        <w:t xml:space="preserve">6. eine Beschreibung der Verfahren, nach denen der AIF seine Anlagestrategie oder seine Anlagepolitik oder beides ändern kann;</w:t>
      </w:r>
    </w:p>
    <w:p>
      <w:pPr>
        <w:ind w:left="420"/>
      </w:pPr>
      <w:r>
        <w:t xml:space="preserve">7. eine Beschreibung der wichtigsten rechtlichen Auswirkungen der für die Tätigung der Anlage eingegangenen Vertragsbeziehung, einschließlich Informationen über die zuständigen Gerichte, das anwendbare Recht und darüber, ob Rechtsinstrumente vorhanden sind, die die Anerkennung und Vollstreckung von Urteilen in dem Gebiet vorsehen, in dem der AIF seinen Sitz hat;</w:t>
      </w:r>
    </w:p>
    <w:p>
      <w:pPr>
        <w:ind w:left="420"/>
      </w:pPr>
      <w:r>
        <w:t xml:space="preserve">8. Identität der AIF-Verwaltungsgesellschaft, der Verwahrstelle des AIF, des Rechnungsprüfers oder sonstiger Dienstleistungsanbieter sowie eine Erläuterung ihrer Pflichten sowie der Rechte der Anleger;</w:t>
      </w:r>
    </w:p>
    <w:p>
      <w:pPr>
        <w:ind w:left="420"/>
      </w:pPr>
      <w:r>
        <w:t xml:space="preserve">9. eine Beschreibung, in welcher Weise die AIF-Verwaltungsgesellschaft den Anforderungen des § 25 Absatz 6 oder des Artikels 9 Absatz 7 der Richtlinie 2011/61/EU gerecht wird;</w:t>
      </w:r>
    </w:p>
    <w:p>
      <w:pPr>
        <w:ind w:left="420"/>
      </w:pPr>
      <w:r>
        <w:t xml:space="preserve">10. eine Beschreibung sämtlicher von der AIF-Verwaltungsgesellschaft übertragener Verwaltungsfunktionen gemäß Anhang I der Richtlinie 2011/61/EU sowie sämtlicher von der Verwahrstelle übertragener Verwahrfunktionen; die Bezeichnung des Beauftragten sowie eine Beschreibung sämtlicher Interessenkonflikte, die sich aus der Aufgabenübertragung ergeben könnten;</w:t>
      </w:r>
    </w:p>
    <w:p>
      <w:pPr>
        <w:ind w:left="420"/>
      </w:pPr>
      <w:r>
        <w:t xml:space="preserve">11. eine Beschreibung des Bewertungsverfahrens des AIF und der Kalkulationsmethoden für die Bewertung von Vermögenswerten, einschließlich der Verfahren für die Bewertung schwer zu bewertender Vermögenswerte gemäß den §§ 278, 279, 286 oder gemäß Artikel 19 der Richtlinie 2011/61/EU;</w:t>
      </w:r>
    </w:p>
    <w:p>
      <w:pPr>
        <w:ind w:left="420"/>
      </w:pPr>
      <w:r>
        <w:t xml:space="preserve">12. eine Beschreibung des Liquiditätsrisikomanagements des AIF, einschließlich der Rücknahmerechte unter normalen und außergewöhnlichen Umständen, und der bestehenden Rücknahmevereinbarungen mit den Anlegern sowie der Möglichkeit und der Bedingungen für den Einsatz der nach § 30a Absatz 1 oder Absatz 3 ausgewählten Liquiditätsmanagementinstrumente;</w:t>
      </w:r>
    </w:p>
    <w:p>
      <w:pPr>
        <w:ind w:left="420"/>
      </w:pPr>
      <w:r>
        <w:t xml:space="preserve">13. eine Beschreibung sämtlicher Entgelte, Gebühren und sonstiger Kosten unter Angabe der jeweiligen Höchstbeträge, die von den Anlegern mittel- oder unmittelbar getragen werden, sowie eine Liste der Gebühren, Entgelte und sonstigen Kosten, die von der Kapitalverwaltungsgesellschaft im Zusammenhang mit der Verwaltung des AIF getragen werden und die direkt und indirekt dem AIF zugeordnet werden;</w:t>
      </w:r>
    </w:p>
    <w:p>
      <w:pPr>
        <w:ind w:left="420"/>
      </w:pPr>
      <w:r>
        <w:t xml:space="preserve">14. eine Beschreibung, in welcher Weise die AIF-Verwaltungsgesellschaft eine faire Behandlung der Anleger gewährleistet, sowie, wann immer Anleger eine Vorzugsbehandlung oder einen Anspruch darauf erhalten, eine Erläuterung</w:t>
      </w:r>
    </w:p>
    <w:p>
      <w:pPr>
        <w:ind w:left="780"/>
      </w:pPr>
      <w:r>
        <w:t xml:space="preserve">a) dieser Behandlung,</w:t>
      </w:r>
    </w:p>
    <w:p>
      <w:pPr>
        <w:ind w:left="780"/>
      </w:pPr>
      <w:r>
        <w:t xml:space="preserve">b) der Art der Anleger, die eine solche Behandlung erhalten sowie</w:t>
      </w:r>
    </w:p>
    <w:p>
      <w:pPr>
        <w:ind w:left="780"/>
      </w:pPr>
      <w:r>
        <w:t xml:space="preserve">c) gegebenenfalls der rechtlichen oder wirtschaftlichen Verbindungen zwischen diesen Anlegern und dem AIF oder der AIF-Verwaltungsgesellschaft;</w:t>
      </w:r>
    </w:p>
    <w:p>
      <w:pPr>
        <w:ind w:left="420"/>
      </w:pPr>
      <w:r>
        <w:t xml:space="preserve">15. eine Beschreibung der Verfahren und Bedingungen für die Ausgabe und den Verkauf von Anteilen oder Aktien;</w:t>
      </w:r>
    </w:p>
    <w:p>
      <w:pPr>
        <w:ind w:left="420"/>
      </w:pPr>
      <w:r>
        <w:t xml:space="preserve">16. die Angabe des jüngsten Nettoinventarwerts des AIF oder des jüngsten Marktpreises der Anteile oder Aktien des AIF nach den §§ 278 und 286 Absatz 1 oder nach Artikel 19 der Richtlinie 2011/61/EU;</w:t>
      </w:r>
    </w:p>
    <w:p>
      <w:pPr>
        <w:ind w:left="420"/>
      </w:pPr>
      <w:r>
        <w:t xml:space="preserve">17. Angaben zur bisherigen Wertentwicklung des AIF, sofern verfügbar;</w:t>
      </w:r>
    </w:p>
    <w:p>
      <w:pPr>
        <w:ind w:left="420"/>
      </w:pPr>
      <w:r>
        <w:t xml:space="preserve">18. die Identität des Primebrokers, eine Beschreibung aller wesentlichen Vereinbarungen zwischen der AIF-Verwaltungsgesellschaft und ihren Primebrokern einschließlich der Darlegung, in welcher Weise diesbezügliche Interessenkonflikte beigelegt werden sowie die Bestimmung, die im Vertrag mit der Verwahrstelle über die Möglichkeit einer Übertragung oder Wiederverwendung von Vermögenswerten des AIF enthalten ist und Angaben über jede eventuell bestehende Haftungsübertragung auf den Primebroker;</w:t>
      </w:r>
    </w:p>
    <w:p>
      <w:pPr>
        <w:ind w:left="420"/>
      </w:pPr>
      <w:r>
        <w:t xml:space="preserve">19. eine Beschreibung, wann und wie die Informationen offengelegt werden, die gemäß § 308 Absatz 4 Satz 2 in Verbindung mit § 300 Absatz 1 bis 3 oder Artikel 23 Absatz 4 und 5 der Richtlinie 2011/61/EU erforderlich sind;</w:t>
      </w:r>
    </w:p>
    <w:p>
      <w:pPr>
        <w:ind w:left="420"/>
      </w:pPr>
      <w:r>
        <w:t xml:space="preserve">20. die in Artikel 14 Absatz 1 und 2 der Verordnung (EU) 2015/2365, die in den Artikeln 6 bis 9 der Verordnung (EU) 2019/2088 sowie die in den Artikeln 5 bis 7 der Verordnung (EU) 2020/852 genannten Informationen.</w:t>
      </w:r>
    </w:p>
    <w:p>
      <w:r>
        <w:t xml:space="preserve">(2) Der am Erwerb eines Anteils oder einer Aktie Interessierte ist auf eine bestehende Vereinbarung hinzuweisen, die die Verwahrstelle getroffen hat, um sich vertraglich von der Haftung gemäß § 88 Absatz 4 freizustellen. § 297 Absatz 7 sowie § 305 gelten entsprechend.</w:t>
      </w:r>
    </w:p>
    <w:p>
      <w:r>
        <w:t xml:space="preserve">(3) § 306 Absatz 1, 3, 4 und 6 gilt entsprechend mit der Maßgabe, dass es statt „Verkaufsprospekt“ „Informationen nach § 307 Absatz 1 und 2“ heißen muss und dass die Haftungsregelungen in Bezug auf die wesentlichen Anlegerinformationen nicht anzuwenden sind.</w:t>
      </w:r>
    </w:p>
    <w:p>
      <w:r>
        <w:t xml:space="preserve">(4) Ist die AIF-Verwaltungsgesellschaft durch die Verordnung (EU) 2017/1129 verpflichtet, einen Wertpapierprospekt zu veröffentlichen, so hat sie die in Absatz 1 genannten Angaben entweder gesondert oder als ergänzende Angaben im Wertpapierprospekt offenzulegen.</w:t>
      </w:r>
    </w:p>
    <w:p>
      <w:r>
        <w:t xml:space="preserve">(5) (weggefallen)</w:t>
      </w:r>
    </w:p>
    <w:p>
      <w:r>
        <w:rPr>
          <w:color w:val="555555"/>
          <w:sz w:val="17"/>
        </w:rPr>
        <w:t xml:space="preserve">Zitiervorschlag: § 307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