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303 KAGB — Maßgebliche Sprachfassung</w:t>
      </w:r>
    </w:p>
    <w:p>
      <w:r>
        <w:rPr>
          <w:color w:val="555555"/>
          <w:sz w:val="18"/>
        </w:rPr>
        <w:t xml:space="preserve">Kapitalanlagegesetzbuch</w:t>
      </w:r>
    </w:p>
    <w:p>
      <w:r>
        <w:rPr>
          <w:color w:val="555555"/>
          <w:sz w:val="18"/>
        </w:rPr>
        <w:t xml:space="preserve">Stand: 10.06.2019 (konsolidierte Textfassung, kein amtliches Inkrafttretensdatum)</w:t>
      </w:r>
    </w:p>
    <w:p>
      <w:r>
        <w:t xml:space="preserve">(1) Sämtliche Veröffentlichungen und Werbeschriften, die sich auf Anteile oder Aktien an einem an Privatanleger vertriebenen AIF oder an einem inländischen OGAW beziehen, sind in deutscher Sprache abzufassen oder mit einer deutschen Übersetzung zu versehen. Dabei ist der deutsche Wortlaut der in § 297 Absatz 1 bis 4 und 8 genannten Unterlagen und der in Satz 1 genannten Unterlagen und Veröffentlichungen maßgeblich.</w:t>
      </w:r>
    </w:p>
    <w:p>
      <w:r>
        <w:t xml:space="preserve">(2) Bei EU-OGAW ist der deutsche Wortlaut der wesentlichen Anlegerinformationen für die Prospekthaftung nach § 306 maßgeblich; für die übrigen in § 298 Absatz 1 genannten Unterlagen ist die im Geltungsbereich dieses Gesetzes veröffentlichte Sprachfassung zugrunde zu legen. Erfolgt die Veröffentlichung auch in deutscher Sprache, so ist der deutsche Wortlaut maßgeblich.</w:t>
      </w:r>
    </w:p>
    <w:p>
      <w:r>
        <w:t xml:space="preserve">(3) Übersetzungen von wesentlichen Anlegerinformationen und Unterlagen gemäß § 298 Absatz 1 Satz 1 und gemäß § 299 Absatz 1 Satz 1 müssen unter der Verantwortung der ausländischen AIF-Verwaltungsgesellschaft oder der EU-Verwaltungsgesellschaft erstellt werden. Sie müssen den Inhalt der ursprünglichen Informationen richtig und vollständig wiedergeben.</w:t>
      </w:r>
    </w:p>
    <w:p>
      <w:r>
        <w:rPr>
          <w:color w:val="555555"/>
          <w:sz w:val="17"/>
        </w:rPr>
        <w:t xml:space="preserve">Zitiervorschlag: § 303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https://recht.nulegal.eu/gesetze/KAGB/303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