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300 KAGB — Zusätzliche Informationspflichten bei AIF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18.04.2026 (konsolidierte Textfassung, kein amtliches Inkrafttretensdatum)</w:t>
      </w:r>
    </w:p>
    <w:p>
      <w:r>
        <w:t xml:space="preserve">(1) Für jeden von ihr verwalteten inländischen AIF, EU-AIF oder ausländischen AIF muss die AIF-Verwaltungsgesellschaft den Anlegern im Geltungsbereich dieses Gesetzes regelmäßig Folgendes offenlegen:</w:t>
      </w:r>
    </w:p>
    <w:p>
      <w:pPr>
        <w:ind w:left="420"/>
      </w:pPr>
      <w:r>
        <w:t xml:space="preserve">1. den prozentualen Anteil der Vermögensgegenstände des AIF, die schwer zu liquidieren sind und für die deshalb besondere Regelungen gelten,</w:t>
      </w:r>
    </w:p>
    <w:p>
      <w:pPr>
        <w:ind w:left="420"/>
      </w:pPr>
      <w:r>
        <w:t xml:space="preserve">2. jegliche neue Regelungen zum Liquiditätsmanagement des AIF,</w:t>
      </w:r>
    </w:p>
    <w:p>
      <w:pPr>
        <w:ind w:left="420"/>
      </w:pPr>
      <w:r>
        <w:t xml:space="preserve">3. das aktuelle Risikoprofil des AIF und die von der AIF-Verwaltungsgesellschaft zur Steuerung dieser Risiken eingesetzten Risikomanagementsysteme,</w:t>
      </w:r>
    </w:p>
    <w:p>
      <w:pPr>
        <w:ind w:left="420"/>
      </w:pPr>
      <w:r>
        <w:t xml:space="preserve">4. die Zusammensetzung des Portfolios der vergebenen Kredite,</w:t>
      </w:r>
    </w:p>
    <w:p>
      <w:pPr>
        <w:ind w:left="420"/>
      </w:pPr>
      <w:r>
        <w:t xml:space="preserve">5. auf Jahresbasis sämtliche Gebühren, Entgelte und sonstige Kosten, die direkt oder indirekt von den Anlegern getragen wurden, und</w:t>
      </w:r>
    </w:p>
    <w:p>
      <w:pPr>
        <w:ind w:left="420"/>
      </w:pPr>
      <w:r>
        <w:t xml:space="preserve">6. auf Jahresbasis jedes Mutterunternehmen, jedes Tochterunternehmen oder jede Zweckgesellschaft, die in Bezug auf die Anlagen des inländischen AIF oder des EU-AIF im Namen der Kapitalverwaltungsgesellschaft genutzt wurde.</w:t>
      </w:r>
    </w:p>
    <w:p>
      <w:r>
        <w:t xml:space="preserve">(2) Für jeden von ihr verwalteten, Leverage einsetzenden inländischen AIF, EU-AIF oder ausländischen AIF muss die AIF-Verwaltungsgesellschaft den Anlegern im Geltungsbereich dieses Gesetzes regelmäßig Folgendes offenlegen:</w:t>
      </w:r>
    </w:p>
    <w:p>
      <w:pPr>
        <w:ind w:left="420"/>
      </w:pPr>
      <w:r>
        <w:t xml:space="preserve">1. alle Änderungen des maximalen Umfangs, in dem die AIF-Verwaltungsgesellschaft für Rechnung des AIF Leverage einsetzen kann sowie etwaige Rechte zur Wiederverwendung von Sicherheiten oder sonstige Garantien, die im Rahmen von Leverage-Geschäften gewährt wurden, und</w:t>
      </w:r>
    </w:p>
    <w:p>
      <w:pPr>
        <w:ind w:left="420"/>
      </w:pPr>
      <w:r>
        <w:t xml:space="preserve">2. die Gesamthöhe des Leverage des betreffenden AIF.</w:t>
      </w:r>
    </w:p>
    <w:p>
      <w:r>
        <w:t xml:space="preserve">(3) Nähere Bestimmungen zu den Offenlegungspflichten gemäß den Absätzen 1 und 2 ergeben sich aus den Artikeln 108 und 109 der Delegierten Verordnung (EU) Nr. 231/2013.</w:t>
      </w:r>
    </w:p>
    <w:p>
      <w:r>
        <w:t xml:space="preserve">(4) Die AIF-Verwaltungsgesellschaft veröffentlicht in einem im Verkaufsprospekt zu benennenden Informationsmedium die Änderungen, die sich in Bezug auf die Haftung der Verwahrstelle ergeben.</w:t>
      </w:r>
    </w:p>
    <w:p>
      <w:r>
        <w:rPr>
          <w:color w:val="555555"/>
          <w:sz w:val="17"/>
        </w:rPr>
        <w:t xml:space="preserve">Zitiervorschlag: § 300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https://recht.nulegal.eu/gesetze/KAGB/300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