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29b KAGB — Risikomanagement bei Kreditvergabe durch AIF-Kapitalverwaltungsgesellschaften; Einbehalt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18.04.2026 (konsolidierte Textfassung, kein amtliches Inkrafttretensdatum)</w:t>
      </w:r>
    </w:p>
    <w:p>
      <w:r>
        <w:t xml:space="preserve">(1) Eine AIF-Kapitalverwaltungsgesellschaft stellt sicher, dass ein von ihr verwalteter AIF 5 Prozent des Nominalwerts jedes Kredits, der vom AIF vergeben und anschließend auf Dritte übertragen worden ist, einbehält. Dieser Prozentsatz jedes Kredits wird wie folgt einbehalten:</w:t>
      </w:r>
    </w:p>
    <w:p>
      <w:pPr>
        <w:ind w:left="420"/>
      </w:pPr>
      <w:r>
        <w:t xml:space="preserve">1. bis zur Fälligkeit bei Krediten mit einer Laufzeit von bis zu acht Jahren oder bei Krediten, die Verbrauchern gewährt werden, unabhängig von ihrer Laufzeit, und</w:t>
      </w:r>
    </w:p>
    <w:p>
      <w:pPr>
        <w:ind w:left="420"/>
      </w:pPr>
      <w:r>
        <w:t xml:space="preserve">2. für einen Zeitraum von mindestens acht Jahren bei sonstigen Krediten.</w:t>
      </w:r>
    </w:p>
    <w:p>
      <w:r>
        <w:t xml:space="preserve">(2) Absatz 1 gilt nicht, wenn</w:t>
      </w:r>
    </w:p>
    <w:p>
      <w:pPr>
        <w:ind w:left="420"/>
      </w:pPr>
      <w:r>
        <w:t xml:space="preserve">1. die AIF-Kapitalverwaltungsgesellschaft mit der Veräußerung der Vermögenswerte des AIF beginnt, um als Teil der Auflösung des AIF Anteile zurücknehmen zu können,</w:t>
      </w:r>
    </w:p>
    <w:p>
      <w:pPr>
        <w:ind w:left="420"/>
      </w:pPr>
      <w:r>
        <w:t xml:space="preserve">2. der Verkauf für die Einhaltung der nach Artikel 215 des Vertrags über die Arbeitsweise der Europäischen Union (ABl. C 202 vom 7.6.2016, S. 1) erlassenen restriktiven Maßnahmen oder der Produktanforderungen erforderlich ist,</w:t>
      </w:r>
    </w:p>
    <w:p>
      <w:pPr>
        <w:ind w:left="420"/>
      </w:pPr>
      <w:r>
        <w:t xml:space="preserve">3. der Verkauf des Kredits erforderlich ist, damit die AIF-Kapitalverwaltungsgesellschaft die Anlagestrategie des von ihr verwalteten AIF im besten Interesse der Anleger des AIF umsetzen kann, oder</w:t>
      </w:r>
    </w:p>
    <w:p>
      <w:pPr>
        <w:ind w:left="420"/>
      </w:pPr>
      <w:r>
        <w:t xml:space="preserve">4. der Verkauf des Kredits auf eine Verschlechterung des mit dem Kredit verbundenen Risikos zurückzuführen ist, die die AIF-Kapitalverwaltungsgesellschaft im Rahmen ihrer Verfahren zur Erfüllung der Sorgfaltspflicht nach § 29 Absatz 3 Nummer 1 und zur Wahrnehmung des Risikomanagements nach § 29 Absatz 3 Nummer 2 bis 4 sowie Absatz 1 dieses Paragraphen festgestellt hat, und der Käufer beim Kauf des Kredits über diese Verschlechterung informiert wird.</w:t>
      </w:r>
    </w:p>
    <w:p>
      <w:r>
        <w:t xml:space="preserve">(3) Die AIF-Kapitalverwaltungsgesellschaft hat auf Ersuchen der Bundesanstalt dieser nachzuweisen, dass die Bedingungen für die Anwendung der Ausnahmen nach Absatz 2 erfüllt sind.</w:t>
      </w:r>
    </w:p>
    <w:p>
      <w:r>
        <w:rPr>
          <w:color w:val="555555"/>
          <w:sz w:val="17"/>
        </w:rPr>
        <w:t xml:space="preserve">Zitiervorschlag: § 29b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https://recht.nulegal.eu/gesetze/KAGB/29b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