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296 KAGB — Vereinbarungen mit Drittstaaten zur OGAW-Konformität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(1) Die Bundesanstalt kann mit den zuständigen Stellen von Drittstaaten vereinbaren, dass</w:t>
      </w:r>
    </w:p>
    <w:p>
      <w:pPr>
        <w:ind w:left="420"/>
      </w:pPr>
      <w:r>
        <w:t xml:space="preserve">1. die §§ 310 und 311 auf Anteile an ausländischen AIF, die in dem Drittstaat gemäß den Anforderungen der Richtlinie 2009/65/EG aufgelegt und verwaltet werden, entsprechend anzuwenden sind, sofern diese AIF im Geltungsbereich dieses Gesetzes vertrieben werden sollen, und</w:t>
      </w:r>
    </w:p>
    <w:p>
      <w:pPr>
        <w:ind w:left="420"/>
      </w:pPr>
      <w:r>
        <w:t xml:space="preserve">2. die §§ 312 bis 313a entsprechend anzuwenden sind, wenn Anteile an inländischen OGAW auf dem Hoheitsgebiet des Drittstaates vertrieben werden sollen.</w:t>
      </w:r>
    </w:p>
    <w:p>
      <w:r>
        <w:t xml:space="preserve">§ 310 gilt dabei mit der Maßgabe, dass zusätzlich zu der Bescheinigung nach § 310 Absatz 1 Satz 1 Nummer 2 auch eine Bescheinigung der zuständigen Stelle des Drittstaates zu übermitteln ist, dass der angezeigte AIF gemäß der Richtlinie 2011/61/EU verwaltet wird.</w:t>
      </w:r>
    </w:p>
    <w:p>
      <w:r>
        <w:t xml:space="preserve">(2) Die Bundesanstalt darf die Vereinbarung nach Absatz 1 nur abschließen, wenn</w:t>
      </w:r>
    </w:p>
    <w:p>
      <w:pPr>
        <w:ind w:left="420"/>
      </w:pPr>
      <w:r>
        <w:t xml:space="preserve">1. die Anforderungen der Richtlinie 2009/65/EG in das Recht des Drittstaates entsprechend umgesetzt sind und öffentlich beaufsichtigt werden,</w:t>
      </w:r>
    </w:p>
    <w:p>
      <w:pPr>
        <w:ind w:left="420"/>
      </w:pPr>
      <w:r>
        <w:t xml:space="preserve">2. die Bundesanstalt und die zuständigen Stellen des Drittstaates eine Vereinbarung im Sinne des Artikels 42 Absatz 1 Buchstabe b in Verbindung mit Absatz 3 der Richtlinie 2011/61/EU abgeschlossen haben oder zeitgleich mit der Vereinbarung nach Absatz 1 abschließen werden,</w:t>
      </w:r>
    </w:p>
    <w:p>
      <w:pPr>
        <w:ind w:left="420"/>
      </w:pPr>
      <w:r>
        <w:t xml:space="preserve">3. der Drittstaat gemäß Artikel 42 Absatz 1 Buchstabe c der Richtlinie 2011/61/EU nicht auf der Liste der nicht kooperierenden Länder und Gebiete, die von der Arbeitsgruppe „Finanzielle Maßnahmen gegen die Geldwäsche und die Terrorismusfinanzierung“ aufgestellt wurde, steht,</w:t>
      </w:r>
    </w:p>
    <w:p>
      <w:pPr>
        <w:ind w:left="420"/>
      </w:pPr>
      <w:r>
        <w:t xml:space="preserve">4. der gegenseitige Marktzugang unter vergleichbaren Voraussetzungen gewährt wird und</w:t>
      </w:r>
    </w:p>
    <w:p>
      <w:pPr>
        <w:ind w:left="420"/>
      </w:pPr>
      <w:r>
        <w:t xml:space="preserve">5. die Vereinbarung nach Absatz 1 auf solche ausländischen AIF des Drittstaates beschränkt wird, bei denen sowohl der AIF als auch der Verwalter ihren Sitz in diesem Drittstaat haben, und die gemäß der Richtlinie 2011/61/EU verwaltet werden.</w:t>
      </w:r>
    </w:p>
    <w:p>
      <w:r>
        <w:t xml:space="preserve">(3) Auf ausländische AIF, deren Anteile entsprechend Absatz 1 im Geltungsbereich dieses Gesetzes vertrieben werden, sind diejenigen Bestimmungen dieses Gesetzes entsprechend anzuwenden, die eine EU-OGAW-Verwaltungsgesellschaft zu beachten hat, wenn sie Anteile an einem EU-OGAW im Geltungsbereich dieses Gesetzes vertreibt; insbesondere sind § 35 Absatz 3 bis 5 des Wertpapierhandelsgesetzes, die §§ 297, 298 sowie 301 bis 306 und 309 entsprechend anzuwenden. Darüber hinaus gilt für den Vertrieb des ausländischen AIF Artikel 42 Absatz 1 Buchstabe a in Verbindung mit den Artikeln 22, 23 und 24 der Richtlinie 2011/61/EU.</w:t>
      </w:r>
    </w:p>
    <w:p>
      <w:r>
        <w:t xml:space="preserve">(4) Die Bundesanstalt veröffentlicht die Vereinbarung nach Absatz 1 unverzüglich nach Inkrafttreten auf ihrer Internetseite. Mit der Bekanntmachung sind die in Absatz 3 genannten Vorschriften anzuwenden. Die Vereinbarung nach Absatz 1 verliert ihre Geltungskraft ab dem Zeitpunkt, auf den in § 295 Absatz 2 Nummer 1 verwiesen wird.</w:t>
      </w:r>
    </w:p>
    <w:p>
      <w:r>
        <w:rPr>
          <w:color w:val="555555"/>
          <w:sz w:val="17"/>
        </w:rPr>
        <w:t xml:space="preserve">Zitiervorschlag: § 296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https://recht.nulegal.eu/gesetze/KAGB/296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