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295a KAGB — Widerruf des grenzüberschreitenden Vertriebs im Inland</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Eine OGAW-Verwaltungsgesellschaft kann den Vertrieb von Anteilen oder Aktien, gegebenenfalls bezogen auf eine oder mehrere Anteilklassen, eines von ihr verwalteten und im Geltungsbereich dieses Gesetzes gemäß § 310 vertriebenen EU-OGAW widerrufen. Eine AIF-Verwaltungsgesellschaft kann den Vertrieb von Anteilen oder Aktien eines von ihr verwalteten und im Geltungsbereich dieses Gesetzes gemäß den §§ 320, 323, auch in Verbindung mit Artikel 31 der Verordnung (EU) 2015/760, gemäß den §§ 329 oder 330 vertriebenen AIF widerrufen. Zum Widerruf nach Satz 1 und 2 müssen folgende Voraussetzungen erfüllt sein:</w:t>
      </w:r>
    </w:p>
    <w:p>
      <w:pPr>
        <w:ind w:left="420"/>
      </w:pPr>
      <w:r>
        <w:t xml:space="preserve">1. es ist ein Pauschalangebot zum Rückkauf oder zur Rücknahme – ohne Kosten oder Abzüge – sämtlicher Anteile oder Aktien, gegebenenfalls bezogen auf eine oder mehrere Anteilklassen, für die der Vertrieb im Inland widerrufen werden soll, abgegeben worden, das für die Dauer von mindestens 30 Arbeitstagen öffentlich zugänglich und individuell – direkt oder über Finanzintermediäre – an alle Anleger gerichtet ist, deren Identität bekannt ist; diese Verpflichtung besteht nicht, wenn es sich um geschlossene AIF oder um AIF handelt, die durch die Verordnung (EU) 2015/760 reguliert sind;</w:t>
      </w:r>
    </w:p>
    <w:p>
      <w:pPr>
        <w:ind w:left="420"/>
      </w:pPr>
      <w:r>
        <w:t xml:space="preserve">2. die Absicht, den Vertrieb zu widerrufen, ist mittels eines allgemein verfügbaren Mediums, einschließlich elektronischer Mittel, das für den Vertrieb von OGAW oder AIF üblich und für einen typischen OGAW-Anleger oder AIF-Anleger geeignet ist, bekannt gemacht worden;</w:t>
      </w:r>
    </w:p>
    <w:p>
      <w:pPr>
        <w:ind w:left="420"/>
      </w:pPr>
      <w:r>
        <w:t xml:space="preserve">3. vertragliche Vereinbarungen mit Finanzintermediären oder Vertretern sind mit Wirkung vom Datum des Widerrufs geändert oder beendet worden, um jedes neue oder weitere unmittelbare oder mittelbare Anbieten oder Platzieren der betreffenden Anteile oder Aktien zu verhindern.</w:t>
      </w:r>
    </w:p>
    <w:p>
      <w:r>
        <w:t xml:space="preserve">Im Fall von EU-OGAW oder an Privatanleger vertriebener EU-AIF oder ausländischer AIF werden die unter Satz 3 Nummer 1 und 2 genannten Informationen in deutscher Sprache bereitgestellt und enthalten eine eindeutige Beschreibung dazu, welche Folgen es für die Anleger hat, wenn sie das Angebot zur Rücknahme oder zum Rückkauf ihrer Anteile oder Aktien nicht annehmen.</w:t>
      </w:r>
    </w:p>
    <w:p>
      <w:r>
        <w:t xml:space="preserve">(2) Ab dem Datum des Widerrufs darf die OGAW-Verwaltungsgesellschaft oder die AIF-Verwaltungsgesellschaft die betroffenen Anteile oder Aktien nicht mehr vertreiben.</w:t>
      </w:r>
    </w:p>
    <w:p>
      <w:r>
        <w:t xml:space="preserve">(3) Für die Dauer von 36 Monaten ab dem Datum des Widerrufs darf die AIF-Verwaltungsgesellschaft Pre-Marketing für die von dem Vertriebswiderruf betroffenen AIF-Anteile oder -Aktien oder für vergleichbare Anlagestrategien oder Anlagekonzepte nicht betreiben.</w:t>
      </w:r>
    </w:p>
    <w:p>
      <w:r>
        <w:t xml:space="preserve">(4) Bezieht sich der Widerruf des Vertriebs auf Anteile oder Aktien an AIF, die im Inland zum Vertrieb gemäß den §§ 320, 329 oder 330 zugelassen sind, zeigt die AIF-Verwaltungsgesellschaft der Bundesanstalt den Widerruf des Vertriebs an und weist die Einhaltung der jeweils erforderlichen Voraussetzungen nach Absatz 1 nach.</w:t>
      </w:r>
    </w:p>
    <w:p>
      <w:r>
        <w:t xml:space="preserve">(5) In den Fällen des § 310 prüft die Bundesanstalt, ob die zuständige Stelle des Herkunftsmitgliedstaates des EU-OGAW der Bundesanstalt eine Anzeige der OGAW-Verwaltungsgesellschaft über den beabsichtigten Widerruf des Vertriebs übermittelt hat, die Angaben zu den in Absatz 1 Satz 3 genannten Voraussetzungen enthält. Ab dem Datum des Widerrufs findet § 310 Absatz 4 keine Anwendung mehr. Teilt die zuständige Stelle des Herkunftsmitgliedstaates des EU-OGAW der Bundesanstalt den Vertriebswiderruf hinsichtlich einzelner Teilinvestmentvermögen oder Anteilklassen mit, so hat die OGAW-Verwaltungsgesellschaft die Bundesanstalt über geänderte Angaben und Unterlagen hinsichtlich der weiter vertriebenen Teilinvestmentvermögen oder Anteilklassen entsprechend § 310 Absatz 4 Satz 1 zu unterrichten. Dabei ist § 293 Absatz 1 Satz 2 Nummer 3 zu berücksichtigen. Die OGAW-Verwaltungsgesellschaft darf die geänderten Unterlagen erst nach der Unterrichtung im Geltungsbereich dieses Gesetzes einsetzen.</w:t>
      </w:r>
    </w:p>
    <w:p>
      <w:r>
        <w:t xml:space="preserve">(6) In den Fällen des § 323, auch in Verbindung mit Artikel 31 der Verordnung (EU) 2015/760, prüft die Bundesanstalt, ob die zuständige Stelle des Herkunftsmitgliedstaates einer EU-AIF-Verwaltungsgesellschaft der Bundesanstalt eine Anzeige der EU-AIF-Verwaltungsgesellschaft über den beabsichtigten Widerruf des Vertriebs übermittelt hat, die Angaben zu den in Absatz 1 Satz 3 genannten Voraussetzungen enthält. Ab dem Datum des Widerrufs gilt § 323 Absatz 3, auch in Verbindung mit Artikel 31 der Verordnung (EU) 2015/760, entsprechend weiter.</w:t>
      </w:r>
    </w:p>
    <w:p>
      <w:r>
        <w:rPr>
          <w:color w:val="555555"/>
          <w:sz w:val="17"/>
        </w:rPr>
        <w:t xml:space="preserve">Zitiervorschlag: § 295a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https://recht.nulegal.eu/gesetze/KAGB/295a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