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295 KAGB — Auf den Vertrieb und den Erwerb von AIF anwendbare Vorschriften</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Der Vertrieb von Anteilen oder Aktien an inländischen Publikums-AIF an Privatanleger, semiprofessionelle und professionelle Anleger im Geltungsbereich dieses Gesetzes ist nur zulässig, wenn die Voraussetzungen des § 316 erfüllt sind. Der Vertrieb von Anteilen oder Aktien an EU-AIF und ausländischen AIF an Privatanleger im Geltungsbereich dieses Gesetzes ist nur zulässig, wenn die Voraussetzungen der §§ 317 bis 320 erfüllt sind. Die Verwaltungsgesellschaften, die AIF verwalten, die die Voraussetzungen für den Vertrieb an Privatanleger nicht erfüllen, müssen wirksame Vorkehrungen treffen, die verhindern, dass Anteile oder Aktien an den AIF an Privatanleger im Geltungsbereich dieses Gesetzes vertrieben werden; dies gilt auch, wenn unabhängige Unternehmen eingeschaltet werden, die für den AIF Wertpapierdienstleistungen erbringen.</w:t>
      </w:r>
    </w:p>
    <w:p>
      <w:r>
        <w:t xml:space="preserve">(2) Der Vertrieb von Anteilen oder Aktien an inländischen Spezial-AIF, EU-AIF und ausländischen AIF an professionelle Anleger ist im Inland nur zulässig</w:t>
      </w:r>
    </w:p>
    <w:p>
      <w:pPr>
        <w:ind w:left="420"/>
      </w:pPr>
      <w:r>
        <w:t xml:space="preserve">1. bis zu dem in dem auf Grundlage des Artikels 66 Absatz 3 in Verbindung mit Artikel 67 Absatz 6 der Richtlinie 2011/61/EU erlassenen delegierten Rechtsakt der Europäischen Kommission genannten Zeitpunkt nach den Voraussetzungen des §§ 321, 323, 329, 330 oder 330a;</w:t>
      </w:r>
    </w:p>
    <w:p>
      <w:pPr>
        <w:ind w:left="420"/>
      </w:pPr>
      <w:r>
        <w:t xml:space="preserve">2. ab dem Zeitpunkt, auf den in Nummer 1 verwiesen wird, nach den Voraussetzungen der §§ 321 bis 328 oder § 330a.</w:t>
      </w:r>
    </w:p>
    <w:p>
      <w:r>
        <w:t xml:space="preserve">Abweichend von Satz 1 darf eine AIF-Verwaltungsgesellschaft, die bis zu dem in Nummer 1 genannten Zeitpunkt inländische Spezial-Feeder-AIF, EU-Feeder-AIF, EU-AIF oder ausländische AIF gemäß § 329 oder § 330 vertreiben darf, diese AIF auch nach diesem Zeitpunkt an professionelle Anleger im Inland weiterhin vertreiben. Die Befugnis der Bundesanstalt, nach § 11 oder nach § 314 erforderliche Maßnahmen zu ergreifen, bleibt unberührt.</w:t>
      </w:r>
    </w:p>
    <w:p>
      <w:r>
        <w:t xml:space="preserve">(3) Der Vertrieb von Anteilen oder Aktien an inländischen Spezial-AIF, EU-AIF und ausländischen AIF an semiprofessionelle Anleger im Inland ist nur zulässig</w:t>
      </w:r>
    </w:p>
    <w:p>
      <w:pPr>
        <w:ind w:left="420"/>
      </w:pPr>
      <w:r>
        <w:t xml:space="preserve">1. bis zu dem in dem auf Grundlage des Artikels 66 Absatz 3 in Verbindung mit Artikel 67 Absatz 6 der Richtlinie 2011/61/EU erlassenen delegierten Rechtsakt der Europäischen Kommission genannten Zeitpunkt</w:t>
      </w:r>
    </w:p>
    <w:p>
      <w:pPr>
        <w:ind w:left="780"/>
      </w:pPr>
      <w:r>
        <w:t xml:space="preserve">a) nach den für den Vertrieb an semiprofessionelle Anleger genannten Voraussetzungen des §§ 321, 323, 329, 330 oder 330a oder</w:t>
      </w:r>
    </w:p>
    <w:p>
      <w:pPr>
        <w:ind w:left="780"/>
      </w:pPr>
      <w:r>
        <w:t xml:space="preserve">b) nach den Voraussetzungen der §§ 317 bis 320;</w:t>
      </w:r>
    </w:p>
    <w:p>
      <w:pPr>
        <w:ind w:left="420"/>
      </w:pPr>
      <w:r>
        <w:t xml:space="preserve">2. ab dem Zeitpunkt, auf den in Nummer 1 verwiesen wird,</w:t>
      </w:r>
    </w:p>
    <w:p>
      <w:pPr>
        <w:ind w:left="780"/>
      </w:pPr>
      <w:r>
        <w:t xml:space="preserve">a) nach den für den Vertrieb an semiprofessionelle Anleger genannten Voraussetzungen der §§ 321 bis 328 oder § 330a oder</w:t>
      </w:r>
    </w:p>
    <w:p>
      <w:pPr>
        <w:ind w:left="780"/>
      </w:pPr>
      <w:r>
        <w:t xml:space="preserve">b) nach den Voraussetzungen der §§ 317 bis 320.</w:t>
      </w:r>
    </w:p>
    <w:p>
      <w:r>
        <w:t xml:space="preserve">Absatz 2 Satz 2 und 5 gilt entsprechend.</w:t>
      </w:r>
    </w:p>
    <w:p>
      <w:r>
        <w:t xml:space="preserve">(4) Werden im Geltungsbereich dieses Gesetzes Anteile oder Aktien an inländischen Publikums-AIF, an zum Vertrieb an Privatanleger berechtigten EU-AIF oder an zum Vertrieb an Privatanleger berechtigten ausländischen AIF an Privatanleger vertrieben oder von diesen erworben, so gelten die Vorschriften des Unterabschnitts 2 dieses Abschnitts, soweit sie sich auf den Vertrieb oder den Erwerb von inländischen Publikums-AIF, EU-AIF oder ausländischen AIF beziehen.</w:t>
      </w:r>
    </w:p>
    <w:p>
      <w:r>
        <w:t xml:space="preserve">(5) Werden im Geltungsbereich dieses Gesetzes Anteile oder Aktien an</w:t>
      </w:r>
    </w:p>
    <w:p>
      <w:pPr>
        <w:ind w:left="420"/>
      </w:pPr>
      <w:r>
        <w:t xml:space="preserve">1. inländischen AIF,</w:t>
      </w:r>
    </w:p>
    <w:p>
      <w:pPr>
        <w:ind w:left="420"/>
      </w:pPr>
      <w:r>
        <w:t xml:space="preserve">2. von einer AIF-Kapitalverwaltungsgesellschaft oder ab dem Zeitpunkt, auf den in Absatz 2 Nummer 1 verwiesen wird, von einer ausländischen AIF-Verwaltungsgesellschaft, die eine Erlaubnis nach § 58 erhalten hat, verwalteten EU-AIF,</w:t>
      </w:r>
    </w:p>
    <w:p>
      <w:pPr>
        <w:ind w:left="420"/>
      </w:pPr>
      <w:r>
        <w:t xml:space="preserve">3. zum Vertrieb an professionelle Anleger berechtigten EU-AIF, die von einer EU-AIF-Verwaltungsgesellschaft oder ab dem Zeitpunkt, auf den in Absatz 2 Nummer 1 verwiesen wird, von einer ausländischen AIF-Verwaltungsgesellschaft, deren Referenzmitgliedstaat nicht die Bundesrepublik Deutschland ist, verwaltet werden, oder</w:t>
      </w:r>
    </w:p>
    <w:p>
      <w:pPr>
        <w:ind w:left="420"/>
      </w:pPr>
      <w:r>
        <w:t xml:space="preserve">4. zum Vertrieb an professionelle Anleger berechtigten ausländischen AIF</w:t>
      </w:r>
    </w:p>
    <w:p>
      <w:r>
        <w:t xml:space="preserve">an semiprofessionelle oder professionelle Anleger vertrieben oder durch diese erworben, gelten die Vorschriften des Unterabschnitts 3 dieses Abschnitts.</w:t>
      </w:r>
    </w:p>
    <w:p>
      <w:r>
        <w:t xml:space="preserve">(6) Beabsichtigt eine AIF-Kapitalverwaltungsgesellschaft, Anteile oder Aktien an von ihr verwalteten inländischen AIF, an EU-AIF oder, ab dem Zeitpunkt, auf den in Absatz 2 Nummer 1 verwiesen wird, an ausländischen AIF an professionelle Anleger in einem anderen Mitgliedstaat der Europäischen Union oder in einem anderen Vertragsstaat des Abkommens über den Europäischen Wirtschaftsraum zu vertreiben, gelten den §§ 331, 331a und ab dem Zeitpunkt, auf den in Absatz 2 Nummer 1 verwiesen wird, § 332. Die AIF-Kapitalverwaltungsgesellschaft stellt den am Erwerb eines Anteils oder einer Aktie Interessierten in den anderen Mitgliedstaaten der Europäischen Union und Vertragsstaaten des Abkommens über den Europäischen Wirtschaftsraum für jeden von ihr verwalteten inländischen AIF oder EU-AIF und für jeden von ihr vertriebenen AIF vor Vertragsschluss</w:t>
      </w:r>
    </w:p>
    <w:p>
      <w:pPr>
        <w:ind w:left="420"/>
      </w:pPr>
      <w:r>
        <w:t xml:space="preserve">1. die in § 307 Absatz 1 genannten Informationen einschließlich aller wesentlichen Änderungen dieser Informationen unter Berücksichtigung von § 307 Absatz 4 in der in den Anlagebedingungen, der Satzung oder dem Gesellschaftsvertrag des AIF festgelegten Art und Weise zur Verfügung und</w:t>
      </w:r>
    </w:p>
    <w:p>
      <w:pPr>
        <w:ind w:left="420"/>
      </w:pPr>
      <w:r>
        <w:t xml:space="preserve">2. unterrichtet die am Erwerb eines Anteils oder einer Aktie Interessierten nach § 307 Absatz 2 Satz 1.</w:t>
      </w:r>
    </w:p>
    <w:p>
      <w:r>
        <w:t xml:space="preserve">Zudem informiert die AIF-Kapitalverwaltungsgesellschaft die Anleger nach § 308 Absatz 1 bis 4, auch in Verbindung mit § 300 Absatz 1 bis 3, und über Änderungen der Informationen nach § 307 Absatz 2 Satz 1.</w:t>
      </w:r>
    </w:p>
    <w:p>
      <w:r>
        <w:t xml:space="preserve">(7) Beabsichtigt eine ausländische AIF-Verwaltungsgesellschaft ab dem Zeitpunkt, auf den in Absatz 2 Nummer 1 verwiesen wird, Anteile oder Aktien an von ihr verwalteten inländischen AIF, an EU-AIF oder an ausländischen AIF an professionelle Anleger in einem anderen Mitgliedstaat der Europäischen Union oder in einem anderen Vertragsstaat des Abkommens über den Europäischen Wirtschaftsraum zu vertreiben, gelten die §§ 333 und 334. Absatz 6 Satz 2 gilt entsprechend.</w:t>
      </w:r>
    </w:p>
    <w:p>
      <w:r>
        <w:t xml:space="preserve">(8) Die Vorschriften des Wertpapierprospektgesetzes und der Verordnung (EU) 2017/1129 bleiben unberührt. An die Stelle des Verkaufsprospekts in diesem Kapitel treten die in einem Wertpapierprospekt enthaltenen Angaben nach § 269, wenn</w:t>
      </w:r>
    </w:p>
    <w:p>
      <w:pPr>
        <w:ind w:left="420"/>
      </w:pPr>
      <w:r>
        <w:t xml:space="preserve">1. der AIF gemäß § 268 Absatz 1 Satz 3 oder § 318 Absatz 3 Satz 2 auf Grund seiner Pflicht zur Erstellung eines Prospekts nach der Verordnung (EU) 2017/1129 und der Aufnahme aller gemäß § 269 erforderlichen Angaben in diesen Prospekt von der Pflicht zur Erstellung eines Verkaufsprospekts befreit ist und</w:t>
      </w:r>
    </w:p>
    <w:p>
      <w:pPr>
        <w:ind w:left="420"/>
      </w:pPr>
      <w:r>
        <w:t xml:space="preserve">2. aus den Vorschriften dieses Kapitels nichts anderes hervorgeht.</w:t>
      </w:r>
    </w:p>
    <w:p>
      <w:r>
        <w:rPr>
          <w:color w:val="555555"/>
          <w:sz w:val="17"/>
        </w:rPr>
        <w:t xml:space="preserve">Zitiervorschlag: § 295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