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292c KAGB — Außerordentliche Kündigung</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Die Anlagebedingungen oder die Satzung des Entwicklungsförderungsfonds müssen oder muss vorsehen, dass die Verwaltung des Fonds durch die AIF-Kapitalverwaltungsgesellschaft mit einer Frist von sechs Monaten gekündigt wird, sollte bei zwei aufeinanderfolgenden Prüfungen gemäß § 28a Absatz 1 in Verbindung mit Prinzip 9 der Maßgeblichen Prinzipien für Wirkungsmanagement ein wesentlicher Verstoß der AIF-Kapitalverwaltungsgesellschaft gegen die Maßgeblichen Prinzipien für Wirkungsmanagement festgestellt werden.</w:t>
      </w:r>
    </w:p>
    <w:p>
      <w:r>
        <w:t xml:space="preserve">(2) Im Fall der Kündigung gemäß Absatz 1 kann das Recht zur Verwaltung innerhalb der Kündigungsfrist auf eine andere AIF-Kapitalverwaltungsgesellschaft übertragen werden.</w:t>
      </w:r>
    </w:p>
    <w:p>
      <w:r>
        <w:t xml:space="preserve">(3) Hat die AIF-Kapitalverwaltungsgesellschaft die Portfolioverwaltung für einen Entwicklungsförderungsfonds ausgelagert oder wird sie im Hinblick auf dessen Portfolioverwaltung beraten, müssen die Anlagebedingungen oder muss die Satzung des Fonds vorsehen, dass die Rechtsbeziehung zum Auslagerungs- oder Beratungsunternehmen mit einer Frist von sechs Monaten durch die Kapitalverwaltungsgesellschaft gekündigt wird, sollte bei zwei aufeinanderfolgenden Prüfungen gemäß § 28a Absatz 2 in Verbindung mit Prinzip 9 der Maßgeblichen Prinzipien für Wirkungsmanagement ein wesentlicher Verstoß des Auslagerungs- oder Beratungsunternehmens gegen die Maßgeblichen Prinzipien für Wirkungsmanagement festgestellt werden.</w:t>
      </w:r>
    </w:p>
    <w:p>
      <w:r>
        <w:rPr>
          <w:color w:val="555555"/>
          <w:sz w:val="17"/>
        </w:rPr>
        <w:t xml:space="preserve">Zitiervorschlag: § 292c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https://recht.nulegal.eu/gesetze/KAGB/292c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