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292a KAGB — Entwicklungsförderungsfonds</w:t>
      </w:r>
    </w:p>
    <w:p>
      <w:r>
        <w:rPr>
          <w:color w:val="555555"/>
          <w:sz w:val="18"/>
        </w:rPr>
        <w:t xml:space="preserve">Kapitalanlagegesetzbuch</w:t>
      </w:r>
    </w:p>
    <w:p>
      <w:r>
        <w:rPr>
          <w:color w:val="555555"/>
          <w:sz w:val="18"/>
        </w:rPr>
        <w:t xml:space="preserve">Stand: 18.04.2026 (konsolidierte Textfassung, kein amtliches Inkrafttretensdatum)</w:t>
      </w:r>
    </w:p>
    <w:p>
      <w:r>
        <w:t xml:space="preserve">(1) Entwicklungsförderungsfonds dürfen als offene inländische Spezial-AIF gemäß Abschnitt 2 Unterabschnitt 1, 2 und 4 oder als geschlossene inländische Spezial-AIF gemäß Abschnitt 3 aufgelegt werden.</w:t>
      </w:r>
    </w:p>
    <w:p>
      <w:r>
        <w:t xml:space="preserve">(2) Die AIF-Kapitalverwaltungsgesellschaft darf im Rahmen der kollektiven Vermögensverwaltung für Entwicklungsförderungsfonds Bürgschaften, Garantien und sonstige Gewährleistungen für andere übernehmen, wenn sie über eine Aufbau- und Ablauforganisation verfügt, die diesen Geschäften und deren Umfang angemessen ist und insbesondere klar definierte und angemessene Verfahren zur Übernahme von Bürgschaften, Garantien und sonstigen Gewährleistungen für andere vorsieht.</w:t>
      </w:r>
    </w:p>
    <w:p>
      <w:r>
        <w:t xml:space="preserve">(3) Die AIF-Kapitalverwaltungsgesellschaft hat für jeden Vermögensgegenstand des Entwicklungsförderungsfonds im Voraus Verfahren festzulegen, um zu messen, inwieweit konkretes positives Auswirkungspotenzial des Vermögensgegenstands zur Erreichung von Zielen für nachhaltige Entwicklung gemäß der Resolution der Generalversammlung der Vereinten Nationen vom 25. September 2015 in Ländern besteht, die zum Zeitpunkt der Gründung des AIF in der Liste der Entwicklungsländer und -gebiete enthalten sind, die vom Ausschuss für Entwicklungshilfe der Organisation für wirtschaftliche Zusammenarbeit und Entwicklung geführt wird, oder während der Laufzeit des Fonds dieser Länderliste hinzugefügt werden. Die AIF-Kapitalverwaltungsgesellschaft hat dafür Sorge zu tragen, dass diese Verfahren klar und transparent sind und gemäß Prinzip 4 der Maßgeblichen Prinzipien für Wirkungsmanagement im Voraus eine Bewertung und, falls möglich, eine Quantifizierung des konkreten, positiven Auswirkungspotenzials erlauben. § 292b bleibt unberührt.</w:t>
      </w:r>
    </w:p>
    <w:p>
      <w:r>
        <w:rPr>
          <w:color w:val="555555"/>
          <w:sz w:val="17"/>
        </w:rPr>
        <w:t xml:space="preserve">Zitiervorschlag: § 292a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https://recht.nulegal.eu/gesetze/KAGB/292a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