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292 KAGB — Zerschlagen von Unternehmen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Erlangt ein AIF allein oder gemeinsam mit anderen AIF die Kontrolle über ein nicht börsennotiertes Unternehmen oder einen Emittenten gemäß § 288, ist die AIF-Kapitalverwaltungsgesellschaft innerhalb von 24 Monaten nach Erlangen der Kontrolle über das Unternehmen durch den AIF dazu verpflichtet,</w:t>
      </w:r>
    </w:p>
    <w:p>
      <w:pPr>
        <w:ind w:left="420"/>
      </w:pPr>
      <w:r>
        <w:t xml:space="preserve">1. Ausschüttungen, Kapitalherabsetzungen, die Rücknahme von Anteilen oder den Ankauf eigener Anteile durch das Unternehmen gemäß Absatz 2 weder zu gestatten noch zu ermöglichen, zu unterstützen oder anzuordnen,</w:t>
      </w:r>
    </w:p>
    <w:p>
      <w:pPr>
        <w:ind w:left="420"/>
      </w:pPr>
      <w:r>
        <w:t xml:space="preserve">2. sofern sie befugt ist, in den Versammlungen der Leitungsgremien des Unternehmens im Namen des AIF abzustimmen, nicht für Ausschüttungen, Kapitalherabsetzungen, die Rücknahme von Anteilen oder den Ankauf eigener Anteile durch das Unternehmen gemäß Absatz 2 zu stimmen und</w:t>
      </w:r>
    </w:p>
    <w:p>
      <w:pPr>
        <w:ind w:left="420"/>
      </w:pPr>
      <w:r>
        <w:t xml:space="preserve">3. sich in jedem Fall bestmöglich zu bemühen, Ausschüttungen, Kapitalherabsetzungen, die Rücknahme von Anteilen oder den Ankauf eigener Anteile durch das Unternehmen gemäß Absatz 2 zu verhindern.</w:t>
      </w:r>
    </w:p>
    <w:p>
      <w:r>
        <w:t xml:space="preserve">(2) Die Pflichten gemäß Absatz 1 beziehen sich auf</w:t>
      </w:r>
    </w:p>
    <w:p>
      <w:pPr>
        <w:ind w:left="420"/>
      </w:pPr>
      <w:r>
        <w:t xml:space="preserve">1. Ausschüttungen an Anteilseigner, die vorgenommen werden, wenn das im Jahresabschluss des Unternehmens ausgewiesene Nettoaktivvermögen bei Abschluss des letzten Geschäftsjahres den Betrag des gezeichneten Kapitals zuzüglich der Rücklagen, deren Ausschüttung das Recht oder die Satzung nicht gestattet, unterschreitet oder infolge einer solchen Ausschüttung unterschreiten würde, wobei der Betrag des gezeichneten Kapitals um den Betrag des noch nicht eingeforderten Teils des gezeichneten Kapitals vermindert wird, falls Letzterer nicht auf der Aktivseite der Bilanz ausgewiesen ist;</w:t>
      </w:r>
    </w:p>
    <w:p>
      <w:pPr>
        <w:ind w:left="420"/>
      </w:pPr>
      <w:r>
        <w:t xml:space="preserve">2. Ausschüttungen an Anteilseigner, deren Betrag den Betrag des Ergebnisses des letzten abgeschlossenen Geschäftsjahres, zuzüglich des Gewinnvortrags und der Entnahmen aus hierfür verfügbaren Rücklagen, jedoch vermindert um die Verluste aus früheren Geschäftsjahren sowie um die Beträge, die nach Gesetz oder Satzung in Rücklagen eingestellt worden sind, überschreiten würde;</w:t>
      </w:r>
    </w:p>
    <w:p>
      <w:pPr>
        <w:ind w:left="420"/>
      </w:pPr>
      <w:r>
        <w:t xml:space="preserve">3. in dem Umfang, in dem der Ankauf eigener Anteile gestattet ist, Ankäufe durch das Unternehmen, einschließlich Anteilen, die bereits früher vom Unternehmen erworben und von ihm gehalten wurden, und Anteilen, die von einer Person erworben werden, die in ihrem eigenen Namen, aber im Auftrag des Unternehmens handelt, die zur Folge hätten, dass das Nettoaktivvermögen unter die in Nummer 1 genannte Schwelle gesenkt würde.</w:t>
      </w:r>
    </w:p>
    <w:p>
      <w:r>
        <w:t xml:space="preserve">(3) Für die Zwecke des Absatzes 2 gilt Folgendes:</w:t>
      </w:r>
    </w:p>
    <w:p>
      <w:pPr>
        <w:ind w:left="420"/>
      </w:pPr>
      <w:r>
        <w:t xml:space="preserve">1. der in Absatz 2 Nummer 1 und 2 verwendete Begriff „Ausschüttungen“ bezieht sich insbesondere auf die Zahlung von Dividenden und Zinsen im Zusammenhang mit Anteilen,</w:t>
      </w:r>
    </w:p>
    <w:p>
      <w:pPr>
        <w:ind w:left="420"/>
      </w:pPr>
      <w:r>
        <w:t xml:space="preserve">2. die Bestimmungen für Kapitalherabsetzungen erstrecken sich nicht auf Herabsetzungen des gezeichneten Kapitals, deren Zweck im Ausgleich von erlittenen Verlusten oder in der Aufnahme von Geldern in eine nicht ausschüttbare Rücklage besteht, unter der Voraussetzung, dass die Höhe einer solchen Rücklage nach dieser Maßnahme 10 Prozent des herabgesetzten gezeichneten Kapitals nicht überschreitet, und</w:t>
      </w:r>
    </w:p>
    <w:p>
      <w:pPr>
        <w:ind w:left="420"/>
      </w:pPr>
      <w:r>
        <w:t xml:space="preserve">3. die Einschränkung gemäß Absatz 2 Nummer 3 richtet sich nach Artikel 20 Absatz 1 Buchstabe b bis h der Richtlinie 77/91/EWG.</w:t>
      </w:r>
    </w:p>
    <w:p>
      <w:r>
        <w:rPr>
          <w:color w:val="555555"/>
          <w:sz w:val="17"/>
        </w:rPr>
        <w:t xml:space="preserve">Zitiervorschlag: § 292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