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291 KAGB — Besondere Vorschriften hinsichtlich des Jahresabschlusses und des Lageberichts</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Erlangt ein AIF allein oder gemeinsam mit anderen AIF die Kontrolle über ein nicht börsennotiertes Unternehmen oder einen Emittenten gemäß § 287 Absatz 1 in Verbindung mit § 288 Absatz 1, ist die AIF-Kapitalverwaltungsgesellschaft dazu verpflichtet,</w:t>
      </w:r>
    </w:p>
    <w:p>
      <w:pPr>
        <w:ind w:left="420"/>
      </w:pPr>
      <w:r>
        <w:t xml:space="preserve">1. darum zu ersuchen und nach besten Kräften sicherzustellen, dass der Jahresabschluss und, sofern gesetzlich vorgeschrieben, der Lagebericht des nicht börsennotierten Unternehmens innerhalb der Frist, die in den einschlägigen nationalen Rechtsvorschriften für die Erstellung der genannten Unterlagen vorgesehen ist, gemäß Absatz 2 erstellt, um die Information nach Absatz 2 ergänzt und von den gesetzlichen Vertretern des Unternehmens den Arbeitnehmervertretern oder, falls es keine solchen Vertreter gibt, den Arbeitnehmern selbst zur Verfügung gestellt wird, oder</w:t>
      </w:r>
    </w:p>
    <w:p>
      <w:pPr>
        <w:ind w:left="420"/>
      </w:pPr>
      <w:r>
        <w:t xml:space="preserve">2. für jeden betreffenden AIF in den gemäß § 148 vorgesehenen Anhang zum Jahresabschluss oder den gemäß § 158 vorgesehenen Jahresbericht zusätzlich die in Absatz 2 genannten Informationen über das betreffende nicht börsennotierte Unternehmen aufzunehmen.</w:t>
      </w:r>
    </w:p>
    <w:p>
      <w:r>
        <w:t xml:space="preserve">(2) Die zusätzlichen Informationen gemäß Absatz 1 Nummer 2 müssen zumindest einen Bericht über die Lage des nicht börsennotierten Unternehmens am Ende des von dem Jahresabschluss oder Jahresbericht abgedeckten Zeitraums enthalten, in dem der Geschäftsverlauf des Unternehmens so dargestellt wird, dass ein den tatsächlichen Verhältnissen entsprechendes Bild entsteht. Der Bericht soll außerdem folgende Informationen enthalten:</w:t>
      </w:r>
    </w:p>
    <w:p>
      <w:pPr>
        <w:ind w:left="420"/>
      </w:pPr>
      <w:r>
        <w:t xml:space="preserve">1. Ereignisse von besonderer Bedeutung, die nach Abschluss des Geschäftsjahres eingetreten sind,</w:t>
      </w:r>
    </w:p>
    <w:p>
      <w:pPr>
        <w:ind w:left="420"/>
      </w:pPr>
      <w:r>
        <w:t xml:space="preserve">2. die voraussichtliche Entwicklung des Unternehmens und</w:t>
      </w:r>
    </w:p>
    <w:p>
      <w:pPr>
        <w:ind w:left="420"/>
      </w:pPr>
      <w:r>
        <w:t xml:space="preserve">3. die in Artikel 22 Absatz 2 der Zweiten Richtlinie des Rates vom 13. Dezember 1976 zur Koordinierung der Schutzbestimmungen, die in den Mitgliedstaaten den Gesellschaften im Sinne des Artikels 58 Absatz 2 des Vertrages im Interesse der Gesellschafter sowie Dritter für die Gründung der Aktiengesellschaft sowie für die Erhaltung und Änderung ihres Kapitals vorgeschrieben sind, um diese Bestimmungen gleichwertig zu gestalten (77/91/EWG) (ABl. L 26 vom 31.1.1977, S. 1) bezeichneten Angaben über den Erwerb eigener Aktien.</w:t>
      </w:r>
    </w:p>
    <w:p>
      <w:r>
        <w:t xml:space="preserve">(3) Die AIF-Kapitalverwaltungsgesellschaft hat</w:t>
      </w:r>
    </w:p>
    <w:p>
      <w:pPr>
        <w:ind w:left="420"/>
      </w:pPr>
      <w:r>
        <w:t xml:space="preserve">1. darum zu ersuchen und nach bestmöglichem Bemühen sicherzustellen, dass die gesetzlichen Vertreter des nicht börsennotierten Unternehmens die in Absatz 1 Nummer 2 genannten Informationen über das betreffende Unternehmen entweder den Arbeitnehmervertretern des betreffenden Unternehmens oder, falls es keine solchen Vertreter gibt, den Arbeitnehmern selbst innerhalb der in § 148 in Verbindung mit § 120 Absatz 1 oder in § 158 in Verbindung mit § 135 Absatz 1 genannten Frist zur Verfügung stellt, oder</w:t>
      </w:r>
    </w:p>
    <w:p>
      <w:pPr>
        <w:ind w:left="420"/>
      </w:pPr>
      <w:r>
        <w:t xml:space="preserve">2. den Anlegern des AIF die Informationen gemäß Absatz 1 Nummer 2, soweit bereits verfügbar, innerhalb der in § 148 in Verbindung mit § 120 Absatz 1 oder in § 158 in Verbindung mit § 135 Absatz 1 genannten Frist und in jedem Fall spätestens bis zu dem Stichtag, zu dem der Jahresabschluss und der Lagebericht des nicht börsennotierten Unternehmens gemäß den einschlägigen nationalen Rechtsvorschriften erstellt werden, zur Verfügung zu stellen.</w:t>
      </w:r>
    </w:p>
    <w:p>
      <w:r>
        <w:rPr>
          <w:color w:val="555555"/>
          <w:sz w:val="17"/>
        </w:rPr>
        <w:t xml:space="preserve">Zitiervorschlag: § 291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