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290 KAGB — Offenlegungspflicht bei Erlangen der Kontrolle</w:t>
      </w:r>
    </w:p>
    <w:p>
      <w:r>
        <w:rPr>
          <w:color w:val="555555"/>
          <w:sz w:val="18"/>
        </w:rPr>
        <w:t xml:space="preserve">Kapitalanlagegesetzbuch</w:t>
      </w:r>
    </w:p>
    <w:p>
      <w:r>
        <w:rPr>
          <w:color w:val="555555"/>
          <w:sz w:val="18"/>
        </w:rPr>
        <w:t xml:space="preserve">Stand: 10.09.2021 (konsolidierte Textfassung, kein amtliches Inkrafttretensdatum)</w:t>
      </w:r>
    </w:p>
    <w:p>
      <w:r>
        <w:t xml:space="preserve">(1) Erlangt ein AIF allein oder gemeinsam mit anderen AIF die Kontrolle über ein nicht börsennotiertes Unternehmen oder einen Emittenten gemäß § 287 Absatz 1 in Verbindung mit § 288 Absatz 1, legt die AIF-Kapitalverwaltungsgesellschaft den folgenden Stellen die in Absatz 2 genannten Informationen vor:</w:t>
      </w:r>
    </w:p>
    <w:p>
      <w:pPr>
        <w:ind w:left="420"/>
      </w:pPr>
      <w:r>
        <w:t xml:space="preserve">1. dem betreffenden Unternehmen,</w:t>
      </w:r>
    </w:p>
    <w:p>
      <w:pPr>
        <w:ind w:left="420"/>
      </w:pPr>
      <w:r>
        <w:t xml:space="preserve">2. den Anteilseignern, soweit deren Identität und Adresse der AIF-Kapitalverwaltungsgesellschaft</w:t>
      </w:r>
    </w:p>
    <w:p>
      <w:pPr>
        <w:ind w:left="780"/>
      </w:pPr>
      <w:r>
        <w:t xml:space="preserve">a) vorliegen,</w:t>
      </w:r>
    </w:p>
    <w:p>
      <w:pPr>
        <w:ind w:left="780"/>
      </w:pPr>
      <w:r>
        <w:t xml:space="preserve">b) von dem nicht börsennotierten Unternehmen zur Verfügung gestellt werden können oder</w:t>
      </w:r>
    </w:p>
    <w:p>
      <w:pPr>
        <w:ind w:left="780"/>
      </w:pPr>
      <w:r>
        <w:t xml:space="preserve">c) über ein Register, zu dem die AIF-Kapitalverwaltungsgesellschaft Zugang hat oder erhalten kann, zur Verfügung gestellt werden können und</w:t>
      </w:r>
    </w:p>
    <w:p>
      <w:pPr>
        <w:ind w:left="420"/>
      </w:pPr>
      <w:r>
        <w:t xml:space="preserve">3. der Bundesanstalt.</w:t>
      </w:r>
    </w:p>
    <w:p>
      <w:r>
        <w:t xml:space="preserve">(2) Die AIF-Kapitalverwaltungsgesellschaft legt die folgenden Informationen vor:</w:t>
      </w:r>
    </w:p>
    <w:p>
      <w:pPr>
        <w:ind w:left="420"/>
      </w:pPr>
      <w:r>
        <w:t xml:space="preserve">1. die Identität der AIF-Kapitalverwaltungsgesellschaft, die entweder allein oder im Rahmen einer Vereinbarung mit anderen AIF-Kapitalverwaltungsgesellschaften die AIF verwalten, die die Kontrolle erlangt haben,</w:t>
      </w:r>
    </w:p>
    <w:p>
      <w:pPr>
        <w:ind w:left="420"/>
      </w:pPr>
      <w:r>
        <w:t xml:space="preserve">2. die Grundsätze zur Vermeidung und Steuerung von Interessenkonflikten, insbesondere zwischen der AIF-Kapitalverwaltungsgesellschaft, dem AIF und dem Unternehmen, einschließlich Informationen zu den besonderen Sicherheitsmaßnahmen, die getroffen wurden, um sicherzustellen, dass Vereinbarungen zwischen der AIF-Kapitalverwaltungsgesellschaft oder dem AIF und dem Unternehmen wie zwischen voneinander unabhängigen Geschäftspartnern geschlossen werden, und</w:t>
      </w:r>
    </w:p>
    <w:p>
      <w:pPr>
        <w:ind w:left="420"/>
      </w:pPr>
      <w:r>
        <w:t xml:space="preserve">3. die Grundsätze für die externe und interne Kommunikation in Bezug auf das Unternehmen, insbesondere gegenüber den Arbeitnehmern.</w:t>
      </w:r>
    </w:p>
    <w:p>
      <w:r>
        <w:t xml:space="preserve">(3) In ihrer Mitteilung nach Absatz 1 Nummer 1 ersucht die AIF-Kapitalverwaltungsgesellschaft den Vorstand des Unternehmens, entweder die Arbeitnehmervertreter oder, falls es keine solchen Vertreter gibt, die Arbeitnehmer selbst unverzüglich von den Informationen gemäß Absatz 2 in Kenntnis zu setzen. Die AIF-Kapitalverwaltungsgesellschaft bemüht sich nach besten Kräften sicherzustellen, dass der Vorstand entweder die Arbeitnehmervertreter oder, falls es keine solchen Vertreter gibt, die Arbeitnehmer selbst ordnungsgemäß informiert.</w:t>
      </w:r>
    </w:p>
    <w:p>
      <w:r>
        <w:t xml:space="preserve">(4) Die AIF-Kapitalverwaltungsgesellschaft stellt sicher, dass den in Absatz 1 Nummer 1 und 2 genannten Unternehmen und Anteilseignern folgende Informationen offengelegt werden:</w:t>
      </w:r>
    </w:p>
    <w:p>
      <w:pPr>
        <w:ind w:left="420"/>
      </w:pPr>
      <w:r>
        <w:t xml:space="preserve">1. die Absichten des AIF hinsichtlich der zukünftigen Geschäftsentwicklung des nicht börsennotierten Unternehmens und</w:t>
      </w:r>
    </w:p>
    <w:p>
      <w:pPr>
        <w:ind w:left="420"/>
      </w:pPr>
      <w:r>
        <w:t xml:space="preserve">2. die voraussichtlichen Auswirkungen auf die Beschäftigung, einschließlich wesentlicher Änderungen der Arbeitsbedingungen.</w:t>
      </w:r>
    </w:p>
    <w:p>
      <w:r>
        <w:t xml:space="preserve">Ferner ersucht die AIF-Kapitalverwaltungsgesellschaft den Vorstand des nicht börsennotierten Unternehmens, die in diesem Absatz genannten Informationen entweder den Arbeitnehmervertretern oder, falls es keine solchen Vertreter gibt, den Arbeitnehmern des nicht börsennotierten Unternehmens selbst zur Verfügung zu stellen und bemüht sich nach besten Kräften, dies sicherzustellen.</w:t>
      </w:r>
    </w:p>
    <w:p>
      <w:r>
        <w:t xml:space="preserve">(5) Sobald ein AIF die Kontrolle über ein nicht börsennotiertes Unternehmen gemäß § 287 Absatz 1 in Verbindung mit § 288 Absatz 1 erlangt, legt die AIF-Kapitalverwaltungsgesellschaft, die den betreffenden AIF verwaltet, der Bundesanstalt und den Anlegern des AIF Angaben zur Finanzierung des Erwerbs vor.</w:t>
      </w:r>
    </w:p>
    <w:p>
      <w:r>
        <w:rPr>
          <w:color w:val="555555"/>
          <w:sz w:val="17"/>
        </w:rPr>
        <w:t xml:space="preserve">Zitiervorschlag: § 290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https://recht.nulegal.eu/gesetze/KAGB/290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