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KAGB — Risikomanagement;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Kapitalverwaltungsgesellschaft hat eine dauerhafte Risikocontrollingfunktion einzurichten und aufrechtzuerhalten, die von den operativen Bereichen hierarchisch und funktionell unabhängig ist (Funktionstrennung). Die Bundesanstalt überwacht die Funktionstrennung nach dem Prinzip der Verhältnismäßigkeit. Die Kapitalverwaltungsgesellschaften, bei denen auf Grund der Art, des Umfangs und der Komplexität ihrer Geschäfte und der von ihnen verwalteten Investmentvermögen die Einrichtung einer hierarchisch und funktionell unabhängigen Risikocontrollingfunktion unverhältnismäßig ist, müssen zumindest in der Lage sein nachzuweisen, dass besondere Schutzvorkehrungen gegen Interessenkonflikte ein unabhängiges Risikocontrolling ermöglichen und dass der Risikomanagementprozess den Anforderungen der Absätze 1 bis 6 genügt und durchgehend wirksam ist.</w:t>
      </w:r>
    </w:p>
    <w:p>
      <w:r>
        <w:t xml:space="preserve">(2) Die Kapitalverwaltungsgesellschaft muss über angemessene Risikomanagementsysteme verfügen, die insbesondere gewährleisten, dass die für die jeweiligen Anlagestrategien wesentlichen Risiken der Investmentvermögen jederzeit erfasst, gemessen, gesteuert und überwacht werden können. Die Kapitalverwaltungsgesellschaft hat die Risikomanagementsysteme regelmäßig, mindestens jedoch einmal jährlich, zu überprüfen und erforderlichenfalls anzupassen.</w:t>
      </w:r>
    </w:p>
    <w:p>
      <w:r>
        <w:t xml:space="preserve">(2a) Die Kapitalverwaltungsgesellschaft stützt sich bei der Bewertung der Kreditqualität der Vermögensgegenstände der Investmentvermögen nicht ausschließlich oder automatisch auf Ratings, die von einer Ratingagentur gemäß Artikel 3 Absatz 1 Buchstabe b der Verordnung (EG) Nr. 1060/2009 in der jeweils geltenden Fassung abgegeben wurden. Die Risikomanagementsysteme nach Absatz 2 haben dies sicherzustellen. Die Bundesanstalt überwacht die Angemessenheit der Prozesse der Kapitalverwaltungsgesellschaften zur Beurteilung der Kreditqualität und die Nutzung von Referenzen auf Ratings im Sinne von Satz 1 im Rahmen der Anlagestrategie der Investmentvermögen; bei der Überwachung berücksichtigt die Bundesanstalt Art, Umfang und Komplexität der Investmentvermögen. Soweit angemessen, wirkt die Bundesanstalt auf die Verminderung des Einflusses solcher Referenzen hin, um eine ausschließliche oder automatische Reaktion auf solche Ratings zu reduzieren.</w:t>
      </w:r>
    </w:p>
    <w:p>
      <w:r>
        <w:t xml:space="preserve">(3) Die Kapitalverwaltungsgesellschaft unterliegt zumindest den folgenden Verpflichtungen:</w:t>
      </w:r>
    </w:p>
    <w:p>
      <w:pPr>
        <w:ind w:left="420"/>
      </w:pPr>
      <w:r>
        <w:t xml:space="preserve">1. sie tätigt Anlagen für Rechnung des Investmentvermögens entsprechend der Anlagestrategie, den Zielen und dem Risikoprofil des Investmentvermögens auf Basis angemessener, dokumentierter und regelmäßig aktualisierter Sorgfaltsprüfungsprozesse;</w:t>
      </w:r>
    </w:p>
    <w:p>
      <w:pPr>
        <w:ind w:left="420"/>
      </w:pPr>
      <w:r>
        <w:t xml:space="preserve">2. sie gewährleistet, dass die mit den einzelnen Anlagepositionen des Investmentvermögens verbundenen Risiken sowie deren jeweilige Wirkung auf das Gesamtrisikoprofil des Investmentvermögens laufend ordnungsgemäß erfasst, gemessen, gesteuert und überwacht werden können; sie nutzt hierzu unter anderem angemessene Stresstests;</w:t>
      </w:r>
    </w:p>
    <w:p>
      <w:pPr>
        <w:ind w:left="420"/>
      </w:pPr>
      <w:r>
        <w:t xml:space="preserve">3. sie gewährleistet, dass die Risikoprofile der Investmentvermögen der Größe, der Zusammensetzung sowie den Anlagestrategien und Anlagezielen entsprechen, wie sie in den Anlagebedingungen, dem Verkaufsprospekt und den sonstigen Verkaufsunterlagen des Investmentvermögens festgelegt sind,</w:t>
      </w:r>
    </w:p>
    <w:p>
      <w:pPr>
        <w:ind w:left="420"/>
      </w:pPr>
      <w:r>
        <w:t xml:space="preserve">4. ist sie eine AIF-Kapitalverwaltungsgesellschaft, so sorgt sie bei der Kreditvergabe für wirksame Strategien, Verfahren und Prozesse für die Vergabe.</w:t>
      </w:r>
    </w:p>
    <w:p>
      <w:r>
        <w:t xml:space="preserve">(4) Die Kapitalverwaltungsgesellschaft legt ein Höchstmaß an Leverage fest, den sie für jedes der von ihr verwalteten Investmentvermögen einsetzen kann, sowie den Umfang des Rechts der Wiederverwendung von Sicherheiten oder sonstigen Garantien, die im Rahmen der Vereinbarung über den Leverage gewährt werden könnten, wobei sie Folgendes berücksichtigt:</w:t>
      </w:r>
    </w:p>
    <w:p>
      <w:pPr>
        <w:ind w:left="420"/>
      </w:pPr>
      <w:r>
        <w:t xml:space="preserve">1. die Art des Investmentvermögens,</w:t>
      </w:r>
    </w:p>
    <w:p>
      <w:pPr>
        <w:ind w:left="420"/>
      </w:pPr>
      <w:r>
        <w:t xml:space="preserve">2. die Anlagestrategie des Investmentvermögens,</w:t>
      </w:r>
    </w:p>
    <w:p>
      <w:pPr>
        <w:ind w:left="420"/>
      </w:pPr>
      <w:r>
        <w:t xml:space="preserve">3. die Herkunft des Leverage des Investmentvermögens,</w:t>
      </w:r>
    </w:p>
    <w:p>
      <w:pPr>
        <w:ind w:left="420"/>
      </w:pPr>
      <w:r>
        <w:t xml:space="preserve">4. jede andere Verbindung oder relevante Beziehung zu anderen Finanzdienstleistungsinstituten, die potenziell ein Systemrisiko darstellen,</w:t>
      </w:r>
    </w:p>
    <w:p>
      <w:pPr>
        <w:ind w:left="420"/>
      </w:pPr>
      <w:r>
        <w:t xml:space="preserve">5. die Notwendigkeit, das Risiko gegenüber jedem einzelnen Kontrahenten zu begrenzen,</w:t>
      </w:r>
    </w:p>
    <w:p>
      <w:pPr>
        <w:ind w:left="420"/>
      </w:pPr>
      <w:r>
        <w:t xml:space="preserve">6. das Ausmaß, bis zu dem das Leverage abgesichert ist,</w:t>
      </w:r>
    </w:p>
    <w:p>
      <w:pPr>
        <w:ind w:left="420"/>
      </w:pPr>
      <w:r>
        <w:t xml:space="preserve">7. das Verhältnis von Aktiva und Passiva,</w:t>
      </w:r>
    </w:p>
    <w:p>
      <w:pPr>
        <w:ind w:left="420"/>
      </w:pPr>
      <w:r>
        <w:t xml:space="preserve">8. Umfang, Art und Ausmaß der Geschäftstätigkeiten der Kapitalverwaltungsgesellschaft auf den betreffenden Märkten.</w:t>
      </w:r>
    </w:p>
    <w:p>
      <w:r>
        <w:t xml:space="preserve">(5) Für AIF-Kapitalverwaltungsgesellschaften bestimmen sich für die von ihnen verwalteten AIF die Kriterien für</w:t>
      </w:r>
    </w:p>
    <w:p>
      <w:pPr>
        <w:ind w:left="420"/>
      </w:pPr>
      <w:r>
        <w:t xml:space="preserve">1. die Risikomanagementsysteme,</w:t>
      </w:r>
    </w:p>
    <w:p>
      <w:pPr>
        <w:ind w:left="420"/>
      </w:pPr>
      <w:r>
        <w:t xml:space="preserve">2. die angemessenen zeitlichen Abstände zwischen den Überprüfungen des Risikomanagementsystems,</w:t>
      </w:r>
    </w:p>
    <w:p>
      <w:pPr>
        <w:ind w:left="420"/>
      </w:pPr>
      <w:r>
        <w:t xml:space="preserve">3. die Art und Weise, in der die funktionale und hierarchische Trennung zwischen der Risikocontrollingfunktion und den operativen Abteilungen, einschließlich der Portfolioverwaltung, zu erfolgen hat,</w:t>
      </w:r>
    </w:p>
    <w:p>
      <w:pPr>
        <w:ind w:left="420"/>
      </w:pPr>
      <w:r>
        <w:t xml:space="preserve">4. die besonderen Schutzvorkehrungen gegen Interessenkonflikte gemäß Absatz 1 Satz 3 und</w:t>
      </w:r>
    </w:p>
    <w:p>
      <w:pPr>
        <w:ind w:left="420"/>
      </w:pPr>
      <w:r>
        <w:t xml:space="preserve">5. die Anforderungen nach Absatz 3 nach den Artikeln 38 bis 45 der Delegierten Verordnung (EU) Nr. 231/2013.</w:t>
      </w:r>
    </w:p>
    <w:p>
      <w:r>
        <w:t xml:space="preserve">(5a) (weggefallen)</w:t>
      </w:r>
    </w:p>
    <w:p>
      <w:r>
        <w:t xml:space="preserve">(5b) Die Kriterien für die Anforderungen, die ein Originator, ein Sponsor oder ein ursprünglicher Kreditgeber erfüllen muss, damit eine Kapitalverwaltungsgesellschaft im Namen von durch sie verwaltete Investmentvermögen in Verbriefungen investieren darf, bestimmen sich nach der Verordnung (EU) 2017/2402. Für OGAW-Kapitalverwaltungsgesellschaften gilt Artikel 43 Absatz 5 und 6 der Verordnung (EU) 2017/2402 entsprechend. Sind Kapitalverwaltungsgesellschaften eine Verbriefung eingegangen, die die Anforderungen der Verordnung (EU) 2017/2402 nicht mehr erfüllt, so handeln sie im besten Interesse der Anleger in den einschlägigen Investmentvermögen und ergreifen gegebenenfalls Korrekturmaßnahmen.</w:t>
      </w:r>
    </w:p>
    <w:p>
      <w:r>
        <w:t xml:space="preserve">(6) Das Bundesministerium der Finanzen wird ermächtigt, durch Rechtsverordnung, die nicht der Zustimmung des Bundesrates bedarf, nähere Bestimmungen für Kapitalverwaltungsgesellschaften, die OGAW oder Publikums-AIF verwalten, zu den Risikomanagementsystemen und -verfahren zu erlassen. Das Bundesministerium der Finanzen kann die Ermächtigung durch Rechtsverordnung auf die Bundesanstalt übertragen.</w:t>
      </w:r>
    </w:p>
    <w:p>
      <w:r>
        <w:rPr>
          <w:color w:val="555555"/>
          <w:sz w:val="17"/>
        </w:rPr>
        <w:t xml:space="preserve">Zitiervorschlag: § 29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