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289 KAGB — Mitteilungspflichten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unterrichtet die Bundesanstalt, wenn der Anteil der Stimmrechte des nicht börsennotierten Unternehmens, der von dem AIF gehalten wird, durch Erwerb, Verkauf oder Halten von Anteilen an dem nicht börsennotierten Unternehmen die Schwellenwerte von 10 Prozent, 20 Prozent, 30 Prozent, 50 Prozent und 75 Prozent erreicht, überschreitet oder unterschreitet.</w:t>
      </w:r>
    </w:p>
    <w:p>
      <w:r>
        <w:t xml:space="preserve">(2) Erlangt ein AIF allein oder gemeinsam mit anderen AIF die Kontrolle über ein nicht börsennotiertes Unternehmen gemäß § 287 Absatz 1 in Verbindung mit § 288 Absatz 1, informiert die AIF-Kapitalverwaltungsgesellschaft die folgenden Stellen über den Kontrollerwerb:</w:t>
      </w:r>
    </w:p>
    <w:p>
      <w:pPr>
        <w:ind w:left="420"/>
      </w:pPr>
      <w:r>
        <w:t xml:space="preserve">1. das nicht börsennotierte Unternehmen,</w:t>
      </w:r>
    </w:p>
    <w:p>
      <w:pPr>
        <w:ind w:left="420"/>
      </w:pPr>
      <w:r>
        <w:t xml:space="preserve">2. die Anteilseigner, soweit deren Identität und Adresse der AIF-Kapitalverwaltungsgesellschaft</w:t>
      </w:r>
    </w:p>
    <w:p>
      <w:pPr>
        <w:ind w:left="780"/>
      </w:pPr>
      <w:r>
        <w:t xml:space="preserve">a) vorliegen,</w:t>
      </w:r>
    </w:p>
    <w:p>
      <w:pPr>
        <w:ind w:left="780"/>
      </w:pPr>
      <w:r>
        <w:t xml:space="preserve">b) von dem nicht börsennotierten Unternehmen zur Verfügung gestellt werden können oder</w:t>
      </w:r>
    </w:p>
    <w:p>
      <w:pPr>
        <w:ind w:left="780"/>
      </w:pPr>
      <w:r>
        <w:t xml:space="preserve">c) über ein Register, zu dem die AIF-Kapitalverwaltungsgesellschaft Zugang hat oder erhalten kann, zur Verfügung gestellt werden können und</w:t>
      </w:r>
    </w:p>
    <w:p>
      <w:pPr>
        <w:ind w:left="420"/>
      </w:pPr>
      <w:r>
        <w:t xml:space="preserve">3. die Bundesanstalt.</w:t>
      </w:r>
    </w:p>
    <w:p>
      <w:r>
        <w:t xml:space="preserve">(3) Die Mitteilung nach Absatz 2 erhält die folgenden zusätzlichen Angaben:</w:t>
      </w:r>
    </w:p>
    <w:p>
      <w:pPr>
        <w:ind w:left="420"/>
      </w:pPr>
      <w:r>
        <w:t xml:space="preserve">1. die sich hinsichtlich der Stimmrechte ergebende Situation,</w:t>
      </w:r>
    </w:p>
    <w:p>
      <w:pPr>
        <w:ind w:left="420"/>
      </w:pPr>
      <w:r>
        <w:t xml:space="preserve">2. die Bedingungen, unter denen die Kontrolle erlangt wurde, einschließlich Nennung der einzelnen beteiligten Anteilseigner, der zur Stimmabgabe in ihrem Namen ermächtigten natürlichen oder juristischen Personen und gegebenenfalls der Beteiligungskette, über die die Stimmrechte tatsächlich gehalten werden,</w:t>
      </w:r>
    </w:p>
    <w:p>
      <w:pPr>
        <w:ind w:left="420"/>
      </w:pPr>
      <w:r>
        <w:t xml:space="preserve">3. das Datum, an dem die Kontrolle erlangt wurde.</w:t>
      </w:r>
    </w:p>
    <w:p>
      <w:r>
        <w:t xml:space="preserve">(4) In seiner Mitteilung nach Absatz 2 Nummer 1 ersucht die AIF-Kapitalverwaltungsgesellschaft den Vorstand des Unternehmens, entweder die Arbeitnehmervertreter oder, falls es keine solchen Vertreter gibt, die Arbeitnehmer selbst unverzüglich von der Erlangung der Kontrolle durch den AIF und von den Informationen gemäß Absatz 3 in Kenntnis zu setzen. Die AIF-Kapitalverwaltungsgesellschaft bemüht sich nach besten Kräften sicherzustellen, dass der Vorstand entweder die Arbeitnehmervertreter oder, falls es keine solchen Vertreter gibt, die Arbeitnehmer selbst ordnungsgemäß informiert.</w:t>
      </w:r>
    </w:p>
    <w:p>
      <w:r>
        <w:t xml:space="preserve">(5) Die Mitteilungen gemäß den Absätzen 1, 2 und 3 werden so rasch wie möglich, aber nicht später als zehn Arbeitstage nach dem Tag, an dem der AIF die entsprechende Schwelle erreicht, über- oder unterschritten hat oder die Kontrolle über das nicht börsennotierte Unternehmen erlangt hat, gemacht.</w:t>
      </w:r>
    </w:p>
    <w:p>
      <w:r>
        <w:rPr>
          <w:color w:val="555555"/>
          <w:sz w:val="17"/>
        </w:rPr>
        <w:t xml:space="preserve">Zitiervorschlag: § 289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