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287 KAGB — Geltungsbereich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287 bis 292 sind anzuwenden auf AIF-Kapitalverwaltungsgesellschaften,</w:t>
      </w:r>
    </w:p>
    <w:p>
      <w:pPr>
        <w:ind w:left="420"/>
      </w:pPr>
      <w:r>
        <w:t xml:space="preserve">1. die AIF verwalten, die entweder allein oder gemeinsam auf Grund einer Vereinbarung die Erlangung von Kontrolle gemäß § 288 Absatz 1 über ein nicht börsennotiertes Unternehmen zum Ziel haben;</w:t>
      </w:r>
    </w:p>
    <w:p>
      <w:pPr>
        <w:ind w:left="420"/>
      </w:pPr>
      <w:r>
        <w:t xml:space="preserve">2. die mit einer oder mehreren AIF-Kapitalverwaltungsgesellschaften auf Grund einer Vereinbarung zusammenarbeiten, gemäß der die von diesen AIF-Kapitalverwaltungsgesellschaften verwalteten AIF die Kontrolle gemäß § 288 Absatz 1 über ein nicht börsennotiertes Unternehmen erlangen.</w:t>
      </w:r>
    </w:p>
    <w:p>
      <w:r>
        <w:t xml:space="preserve">(2) Die §§ 287 bis 292 sind nicht anzuwenden, wenn das nicht börsennotierte Unternehmen</w:t>
      </w:r>
    </w:p>
    <w:p>
      <w:pPr>
        <w:ind w:left="420"/>
      </w:pPr>
      <w:r>
        <w:t xml:space="preserve">1. ein kleineres oder mittleres Unternehmen im Sinne von Artikel 2 Absatz 1 des Anhangs der Empfehlung 2003/361/EG der Kommission vom 6. Mai 2003 betreffend die Definition der Kleinstunternehmen sowie der kleinen und mittleren Unternehmen ist oder</w:t>
      </w:r>
    </w:p>
    <w:p>
      <w:pPr>
        <w:ind w:left="420"/>
      </w:pPr>
      <w:r>
        <w:t xml:space="preserve">2. eine Zweckgesellschaft für den Erwerb, den Besitz oder die Verwaltung von Immobilien ist.</w:t>
      </w:r>
    </w:p>
    <w:p>
      <w:r>
        <w:t xml:space="preserve">(3) Unbeschadet der Absätze 1 und 2 ist § 289 Absatz 1 auch auf AIF-Kapitalverwaltungsgesellschaften anzuwenden, die AIF verwalten, die eine Minderheitsbeteiligung an einem nicht börsennotierten Unternehmen erlangen.</w:t>
      </w:r>
    </w:p>
    <w:p>
      <w:r>
        <w:t xml:space="preserve">(4) § 290 Absatz 1 bis 3 und § 292 sind auch auf AIF-Kapitalverwaltungsgesellschaften anzuwenden, die solche AIF verwalten, die Kontrolle in Bezug auf einen Emittenten im Sinne von Artikel 2 Absatz 1 Buchstabe d der Richtlinie 2004/109/EG erlangen,</w:t>
      </w:r>
    </w:p>
    <w:p>
      <w:pPr>
        <w:ind w:left="420"/>
      </w:pPr>
      <w:r>
        <w:t xml:space="preserve">1. der seinen satzungsmäßigen Sitz in der Europäischen Union oder in einem anderen Vertragsstaat des Abkommens über den Europäischen Wirtschaftsraum hat und</w:t>
      </w:r>
    </w:p>
    <w:p>
      <w:pPr>
        <w:ind w:left="420"/>
      </w:pPr>
      <w:r>
        <w:t xml:space="preserve">2. dessen Wertpapiere im Sinne von Artikel 4 Absatz 1 Nummer 21 der Richtlinie 2014/65/EU zum Handel auf einem organisierten Markt im Sinne von § 2 Absatz 11 des Wertpapierhandelsgesetzes zugelassen sind.</w:t>
      </w:r>
    </w:p>
    <w:p>
      <w:r>
        <w:t xml:space="preserve">Für die Zwecke dieser Paragraphen gelten die Absätze 1 und 2 entsprechend.</w:t>
      </w:r>
    </w:p>
    <w:p>
      <w:r>
        <w:t xml:space="preserve">(5) Die §§ 287 bis 292 gelten vorbehaltlich der Bedingungen und Beschränkungen, die in Artikel 6 der Richtlinie 2002/14/EG festgelegt sind.</w:t>
      </w:r>
    </w:p>
    <w:p>
      <w:r>
        <w:rPr>
          <w:color w:val="555555"/>
          <w:sz w:val="17"/>
        </w:rPr>
        <w:t xml:space="preserve">Zitiervorschlag: § 287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