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286 KAGB — Bewertung, Bewertungsverfahren und Bewerter; Häufigkeit der Bewertung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Bewertung, das Bewertungsverfahren und den Bewerter gelten die §§ 168, 169 und 216 entsprechend.</w:t>
      </w:r>
    </w:p>
    <w:p>
      <w:r>
        <w:t xml:space="preserve">(2) Für die Häufigkeit der Bewertung gilt § 272 entsprechend.</w:t>
      </w:r>
    </w:p>
    <w:p>
      <w:r>
        <w:rPr>
          <w:color w:val="555555"/>
          <w:sz w:val="17"/>
        </w:rPr>
        <w:t xml:space="preserve">Zitiervorschlag: § 286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