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283 KAGB — Hedgefonds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Hedgefonds sind allgemeine offene inländische Spezial-AIF nach § 282, deren Anlagebedingungen zusätzlich mindestens eine der folgenden Bedingungen vorsehen:</w:t>
      </w:r>
    </w:p>
    <w:p>
      <w:pPr>
        <w:ind w:left="420"/>
      </w:pPr>
      <w:r>
        <w:t xml:space="preserve">1. den Einsatz von Leverage in beträchtlichem Umfang oder</w:t>
      </w:r>
    </w:p>
    <w:p>
      <w:pPr>
        <w:ind w:left="420"/>
      </w:pPr>
      <w:r>
        <w:t xml:space="preserve">2. den Verkauf von Vermögensgegenständen für gemeinschaftliche Rechnung der Anleger, die im Zeitpunkt des Geschäftsabschlusses nicht zum AIF gehören (Leerverkauf).</w:t>
      </w:r>
    </w:p>
    <w:p>
      <w:r>
        <w:t xml:space="preserve">Die Kriterien zur Bestimmung, wann Leverage in beträchtlichem Umfang eingesetzt wird, richten sich nach Artikel 111 der Delegierten Verordnung (EU) Nr. 231/2013.</w:t>
      </w:r>
    </w:p>
    <w:p>
      <w:r>
        <w:t xml:space="preserve">(2) Die Anlagebedingungen von Hedgefonds müssen Angaben darüber enthalten, ob die Vermögensgegenstände bei einer Verwahrstelle oder bei einem Primebroker verwahrt werden.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283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