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282 KAGB — Anlageobjekte, Anlagegrenzen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18.04.2026 (konsolidierte Textfassung, kein amtliches Inkrafttretensdatum)</w:t>
      </w:r>
    </w:p>
    <w:p>
      <w:r>
        <w:t xml:space="preserve">(1) Die AIF-Kapitalverwaltungsgesellschaft muss die Mittel des allgemeinen offenen inländischen Spezial-AIF nach dem Grundsatz der Risikomischung zur gemeinschaftlichen Kapitalanlage anlegen.</w:t>
      </w:r>
    </w:p>
    <w:p>
      <w:r>
        <w:t xml:space="preserve">(2) Die AIF-Kapitalverwaltungsgesellschaft darf für den Spezial-AIF nur in Vermögensgegenstände investieren, deren Verkehrswert ermittelt werden kann. Die Zusammensetzung der Vermögensgegenstände des Spezial-AIF muss im Einklang mit den für den Spezial-AIF geltenden Regelungen zur Rücknahme von Anteilen oder Aktien stehen.</w:t>
      </w:r>
    </w:p>
    <w:p>
      <w:r>
        <w:t xml:space="preserve">(3) Erfüllt eine AIF-Kapitalverwaltungsgesellschaft, die einen oder mehrere allgemeine offene inländische Spezial-AIF verwaltet, die in § 287 genannten Voraussetzungen, sind die §§ 287 bis 292 anzuwenden.</w:t>
      </w:r>
    </w:p>
    <w:p>
      <w:r>
        <w:rPr>
          <w:color w:val="555555"/>
          <w:sz w:val="17"/>
        </w:rPr>
        <w:t xml:space="preserve">Zitiervorschlag: § 282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https://recht.nulegal.eu/gesetze/KAGB/282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