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281 KAGB — Verschmelzung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Spezialsondervermögen dürfen nicht auf Publikumssondervermögen verschmolzen werden, Publikumssondervermögen dürfen nicht auf Spezialsondervermögen verschmolzen werden. Die §§ 184, 185, 189 und 190 sind auf Spezialsondervermögen mit den folgenden Maßgaben entsprechend anzuwenden:</w:t>
      </w:r>
    </w:p>
    <w:p>
      <w:pPr>
        <w:ind w:left="420"/>
      </w:pPr>
      <w:r>
        <w:t xml:space="preserve">1. die Angaben nach § 184 Absatz 1 Satz 3 Nummer 1 bis 4 im Verschmelzungsplan sind nicht erforderlich;</w:t>
      </w:r>
    </w:p>
    <w:p>
      <w:pPr>
        <w:ind w:left="420"/>
      </w:pPr>
      <w:r>
        <w:t xml:space="preserve">2. mit Zustimmung der Anleger kann eine Prüfung durch die Verwahrstellen nach § 185 Absatz 1 unterbleiben, der gesamte Verschmelzungsvorgang ist jedoch vom Abschlussprüfer zu prüfen;</w:t>
      </w:r>
    </w:p>
    <w:p>
      <w:pPr>
        <w:ind w:left="420"/>
      </w:pPr>
      <w:r>
        <w:t xml:space="preserve">3. Bekanntmachungen, Veröffentlichungen oder Unterrichtungen nach § 189 Absatz 4 sind nicht erforderlich.</w:t>
      </w:r>
    </w:p>
    <w:p>
      <w:r>
        <w:t xml:space="preserve">Eine Genehmigung der Verschmelzung von Spezialsondervermögen gemäß § 182 durch die Bundesanstalt ist nicht erforderlich, die Anleger müssen der Verschmelzung nach Vorlage des Verschmelzungsplans jedoch zustimmen.</w:t>
      </w:r>
    </w:p>
    <w:p>
      <w:r>
        <w:t xml:space="preserve">(2) Absatz 1 ist entsprechend anzuwenden auf die Verschmelzung</w:t>
      </w:r>
    </w:p>
    <w:p>
      <w:pPr>
        <w:ind w:left="420"/>
      </w:pPr>
      <w:r>
        <w:t xml:space="preserve">1. eines Spezialsondervermögens auf eine Spezialinvestmentaktiengesellschaft mit veränderlichem Kapital, auf eine offene Investmentkommanditgesellschaft, auf ein Teilgesellschaftsvermögen einer Spezialinvestmentaktiengesellschaft mit veränderlichem Kapital oder auf ein Teilgesellschaftsvermögen einer offenen Investmentkommanditgesellschaft,</w:t>
      </w:r>
    </w:p>
    <w:p>
      <w:pPr>
        <w:ind w:left="420"/>
      </w:pPr>
      <w:r>
        <w:t xml:space="preserve">2. eines Teilgesellschaftsvermögens einer Spezialinvestmentaktiengesellschaft mit veränderlichem Kapital auf ein anderes Teilgesellschaftsvermögen derselben Investmentaktiengesellschaft sowie eines Teilgesellschaftsvermögens einer offenen Investmentkommanditgesellschaft auf ein anderes Teilgesellschaftsvermögen derselben Investmentkommanditgesellschaft,</w:t>
      </w:r>
    </w:p>
    <w:p>
      <w:pPr>
        <w:ind w:left="420"/>
      </w:pPr>
      <w:r>
        <w:t xml:space="preserve">3. eines Teilgesellschaftsvermögens einer Spezialinvestmentaktiengesellschaft mit veränderlichem Kapital oder eines Teilgesellschaftsvermögens einer offenen Investmentkommanditgesellschaft auf ein Teilgesellschaftsvermögen einer anderen Spezialinvestmentaktiengesellschaft mit veränderlichem Kapital oder einer anderen offenen Investmentkommanditgesellschaft,</w:t>
      </w:r>
    </w:p>
    <w:p>
      <w:pPr>
        <w:ind w:left="420"/>
      </w:pPr>
      <w:r>
        <w:t xml:space="preserve">4. eines Teilgesellschaftsvermögens einer Spezialinvestmentaktiengesellschaft mit veränderlichem Kapital oder eines Teilgesellschaftsvermögens einer offenen Investmentkommanditgesellschaft auf ein Spezialsondervermögen.</w:t>
      </w:r>
    </w:p>
    <w:p>
      <w:r>
        <w:t xml:space="preserve">(3) Auf die Fälle der Verschmelzung einer Spezialinvestmentaktiengesellschaft mit veränderlichem Kapital oder einer offenen Investmentkommanditgesellschaft auf eine andere Spezialinvestmentaktiengesellschaft mit veränderlichem Kapital, auf eine andere offene Investmentkommanditgesellschaft, auf ein Teilgesellschaftsvermögen einer Spezialinvestmentaktiengesellschaft mit veränderlichem Kapital, auf ein Teilgesellschaftsvermögen einer offenen Investmentkommanditgesellschaft oder auf ein Spezialsondervermögen sind die Vorschriften des Umwandlungsgesetzes zur Verschmelzung anzuwenden, soweit sich aus der entsprechenden Anwendung des § 182 in Verbindung mit Absatz 1 Satz 3, § 189 Absatz 2, 3 und 5 und § 190 nichts anderes ergibt.</w:t>
      </w:r>
    </w:p>
    <w:p>
      <w:r>
        <w:t xml:space="preserve">(4) (weggefallen)</w:t>
      </w:r>
    </w:p>
    <w:p>
      <w:r>
        <w:rPr>
          <w:color w:val="555555"/>
          <w:sz w:val="17"/>
        </w:rPr>
        <w:t xml:space="preserve">Zitiervorschlag: § 281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