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KAGB — Allgemeine Organisationspflichten; Verordnungsermächtigung</w:t>
      </w:r>
    </w:p>
    <w:p>
      <w:r>
        <w:rPr>
          <w:color w:val="555555"/>
          <w:sz w:val="18"/>
        </w:rPr>
        <w:t xml:space="preserve">Kapitalanlagegesetzbuch</w:t>
      </w:r>
    </w:p>
    <w:p>
      <w:r>
        <w:rPr>
          <w:color w:val="555555"/>
          <w:sz w:val="18"/>
        </w:rPr>
        <w:t xml:space="preserve">Stand: 04.01.2025 (konsolidierte Textfassung, kein amtliches Inkrafttretensdatum)</w:t>
      </w:r>
    </w:p>
    <w:p>
      <w:r>
        <w:t xml:space="preserve">(1) Die Kapitalverwaltungsgesellschaft muss über eine ordnungsgemäße Geschäftsorganisation verfügen, die die Einhaltung der von der Kapitalverwaltungsgesellschaft zu beachtenden gesetzlichen Bestimmungen gewährleistet. Eine ordnungsgemäße Geschäftsorganisation umfasst insbesondere</w:t>
      </w:r>
    </w:p>
    <w:p>
      <w:pPr>
        <w:ind w:left="420"/>
      </w:pPr>
      <w:r>
        <w:t xml:space="preserve">1. ein angemessenes Risikomanagementsystem;</w:t>
      </w:r>
    </w:p>
    <w:p>
      <w:pPr>
        <w:ind w:left="420"/>
      </w:pPr>
      <w:r>
        <w:t xml:space="preserve">2. angemessene und geeignete personelle und technische Ressourcen;</w:t>
      </w:r>
    </w:p>
    <w:p>
      <w:pPr>
        <w:ind w:left="420"/>
      </w:pPr>
      <w:r>
        <w:t xml:space="preserve">3. geeignete Regelungen für die persönlichen Geschäfte der Mitarbeiter;</w:t>
      </w:r>
    </w:p>
    <w:p>
      <w:pPr>
        <w:ind w:left="420"/>
      </w:pPr>
      <w:r>
        <w:t xml:space="preserve">4. geeignete Regelungen für die Anlage des eigenen Vermögens der Kapitalverwaltungsgesellschaft;</w:t>
      </w:r>
    </w:p>
    <w:p>
      <w:pPr>
        <w:ind w:left="420"/>
      </w:pPr>
      <w:r>
        <w:t xml:space="preserve">5. angemessene Kontroll- und Sicherheitsvorkehrungen für den Einsatz der elektronischen Datenverarbeitung einschließlich in Bezug auf Netzwerk- und Informationssysteme, die in Einklang mit der Verordnung (EU) 2022/2554 eingerichtet und verwaltet werden, und im Hinblick auf die Verarbeitung personenbezogener Daten insbesondere technische und organisatorische Maßnahmen nach den Artikeln 24, 25 und 32 der Verordnung (EU) 2016/679;</w:t>
      </w:r>
    </w:p>
    <w:p>
      <w:pPr>
        <w:ind w:left="420"/>
      </w:pPr>
      <w:r>
        <w:t xml:space="preserve">6. eine vollständige Dokumentation der ausgeführten Geschäfte, die insbesondere gewährleistet, dass jedes das Investmentvermögen betreffende Geschäft nach Herkunft, Kontrahent sowie Art und Abschlusszeitpunkt und -ort rekonstruiert werden kann;</w:t>
      </w:r>
    </w:p>
    <w:p>
      <w:pPr>
        <w:ind w:left="420"/>
      </w:pPr>
      <w:r>
        <w:t xml:space="preserve">7. angemessene Kontrollverfahren, die insbesondere das Bestehen einer internen Revision voraussetzen und gewährleisten, dass das Vermögen der von der Kapitalverwaltungsgesellschaft verwalteten Investmentvermögen in Übereinstimmung mit den Anlagebedingungen, der Satzung oder dem Gesellschaftsvertrag des Investmentvermögens sowie den jeweils geltenden rechtlichen Bestimmungen angelegt wird;</w:t>
      </w:r>
    </w:p>
    <w:p>
      <w:pPr>
        <w:ind w:left="420"/>
      </w:pPr>
      <w:r>
        <w:t xml:space="preserve">8. eine ordnungsgemäße Verwaltung und Buchhaltung und</w:t>
      </w:r>
    </w:p>
    <w:p>
      <w:pPr>
        <w:ind w:left="420"/>
      </w:pPr>
      <w:r>
        <w:t xml:space="preserve">9. einen Prozess, der es den Mitarbeitern unter Wahrung der Vertraulichkeit ihrer Identität ermöglicht, potenzielle oder tatsächliche Verstöße gegen dieses Gesetz, gegen auf Grund dieses Gesetzes erlassene Rechtsverordnungen oder gegen unmittelbar geltende Vorschriften in Rechtsakten der Europäischen Union über Europäische Risikokapitalfonds, über Europäische Fonds für soziales Unternehmertum, über europäische langfristige Investmentfonds, über Geldmarktfonds, über ein Paneuropäisches Privates Pensionsprodukt, über Ratingagenturen, über Marktmissbrauch, über die Transparenz von Wertpapierfinanzierungsgeschäften und der Weiterverwendung, über Indizes, die bei Finanzinstrumenten und Finanzkontrakten als Referenzwert oder zur Messung der Wertentwicklung eines Investmentfonds verwendet werden, zur Festlegung eines allgemeinen Rahmens für Verbriefungen und zur Schaffung eines spezifischen Rahmens für einfache, transparente und standardisierte Verbriefung, über nachhaltigkeitsbezogene Offenlegungspflichten im Finanzdienstleistungssektor, über die Einrichtung eines Rahmens zur Erleichterung nachhaltiger Investitionen oder über Basisinformationsblätter für verpackte Anlageprodukte für Kleinanleger und Versicherungsanlageprodukte sowie etwaige strafbare Handlungen innerhalb der Kapitalverwaltungsgesellschaft an geeignete Stellen zu melden.</w:t>
      </w:r>
    </w:p>
    <w:p>
      <w:r>
        <w:t xml:space="preserve">Die §§ 77, 78 und 80 Absatz 2 und 3 des Wertpapierhandelsgesetzes gelten entsprechend. Die §§ 24c, 25h und 25j bis 25m des Kreditwesengesetzes sowie § 93 Absatz 7 und 8 in Verbindung mit § 93b der Abgabenordnung gelten entsprechend.</w:t>
      </w:r>
    </w:p>
    <w:p>
      <w:r>
        <w:t xml:space="preserve">(2) Eine ordnungsgemäße Geschäftsorganisation von OGAW-Kapitalverwaltungsgesellschaften umfasst zusätzlich zu den in Absatz 1 genannten Kriterien insbesondere</w:t>
      </w:r>
    </w:p>
    <w:p>
      <w:pPr>
        <w:ind w:left="420"/>
      </w:pPr>
      <w:r>
        <w:t xml:space="preserve">1. geeignete Verfahren und Vorkehrungen, die gewährleisten, dass die OGAW-Kapitalverwaltungsgesellschaft ordnungsgemäß mit Anlegerbeschwerden umgeht und dass Anleger und Aktionäre der von ihr verwalteten OGAW ihre Rechte uneingeschränkt wahrnehmen können; dies gilt insbesondere, falls die OGAW-Kapitalverwaltungsgesellschaft EU-OGAW verwaltet; Anleger und Aktionäre eines von ihr verwalteten EU-OGAW müssen die Möglichkeit erhalten, Beschwerde in der Amtssprache oder einer der Amtssprachen des Herkunftsstaates des EU-OGAW einzureichen und</w:t>
      </w:r>
    </w:p>
    <w:p>
      <w:pPr>
        <w:ind w:left="420"/>
      </w:pPr>
      <w:r>
        <w:t xml:space="preserve">2. geeignete Verfahren und Vorkehrungen, die gewährleisten, dass die OGAW-Kapitalverwaltungsgesellschaft ihren Informationspflichten gegenüber den Anlegern, Aktionären der von ihr verwalteten OGAW und Kunden, ihren Vertriebsgesellschaften sowie der Bundesanstalt oder den zuständigen Stellen des Herkunftsstaates des EU-OGAW nachkommt.</w:t>
      </w:r>
    </w:p>
    <w:p>
      <w:r>
        <w:t xml:space="preserve">Für AIF-Kapitalverwaltungsgesellschaften, die inländische Publikums-AIF verwalten, gilt Satz 1 Nummer 1 Halbsatz 1 und Satz 1 Nummer 2 entsprechend.</w:t>
      </w:r>
    </w:p>
    <w:p>
      <w:r>
        <w:t xml:space="preserve">(3) Im Hinblick auf AIF-Kapitalverwaltungsgesellschaften bestimmen sich die in Absatz 1 Satz 2 Nummer 1 bis 8 genannten Verfahren und Regelungen nach den Artikeln 57 bis 66 der Delegierten Verordnung (EU) Nr. 231/2013.</w:t>
      </w:r>
    </w:p>
    <w:p>
      <w:r>
        <w:t xml:space="preserve">(4) Das Bundesministerium der Finanzen wird ermächtigt, durch Rechtsverordnung, die nicht der Zustimmung des Bundesrates bedarf, nähere Bestimmungen für Kapitalverwaltungsgesellschaften, die OGAW oder Publikums-AIF verwalten, zu den Verfahren und Vorkehrungen für eine ordnungsgemäße Geschäftsorganisation nach den Absätzen 1 und 2 zu erlassen. Das Bundesministerium der Finanzen kann die Ermächtigung durch Rechtsverordnung auf die Bundesanstalt übertragen.</w:t>
      </w:r>
    </w:p>
    <w:p>
      <w:r>
        <w:rPr>
          <w:color w:val="555555"/>
          <w:sz w:val="17"/>
        </w:rPr>
        <w:t xml:space="preserve">Zitiervorschlag: § 28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