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279 KAGB — Häufigkeit der Bewertung, Offenlegung</w:t>
      </w:r>
    </w:p>
    <w:p>
      <w:r>
        <w:rPr>
          <w:color w:val="555555"/>
          <w:sz w:val="18"/>
        </w:rPr>
        <w:t xml:space="preserve">Kapitalanlagegesetzbuch</w:t>
      </w:r>
    </w:p>
    <w:p>
      <w:r>
        <w:rPr>
          <w:color w:val="555555"/>
          <w:sz w:val="18"/>
        </w:rPr>
        <w:t xml:space="preserve">Stand: 18.04.2026 (konsolidierte Textfassung, kein amtliches Inkrafttretensdatum)</w:t>
      </w:r>
    </w:p>
    <w:p>
      <w:r>
        <w:t xml:space="preserve">(1) Die Bewertung der Vermögensgegenstände und die Berechnung des Nettoinventarwertes je Anteil oder Aktie sind in einem zeitlichen Abstand durchzuführen, der den zum Spezial-AIF gehörenden Vermögensgegenständen und der Ausgabe- und Rücknahmehäufigkeit der Anteile oder Aktien angemessen ist, jedoch mindestens einmal jährlich.</w:t>
      </w:r>
    </w:p>
    <w:p>
      <w:r>
        <w:t xml:space="preserve">(2) Die Kriterien zur Bestimmung der Häufigkeit der Bewertung des Wertes des AIF und zur Berechnung des Nettoinventarwertes je Anteil oder Aktie bestimmen sich nach den Artikeln 67 bis 74 der Delegierten Verordnung (EU) Nr. 231/2013.</w:t>
      </w:r>
    </w:p>
    <w:p>
      <w:r>
        <w:t xml:space="preserve">(3) Die Bewertungen der Vermögensgegenstände und Berechnungen des Nettoinventarwertes je Anteil oder Aktie sind entsprechend den diesbezüglichen Anlagebedingungen gegenüber den Anlegern offenzulegen.</w:t>
      </w:r>
    </w:p>
    <w:p>
      <w:r>
        <w:t xml:space="preserve">(4) (weggefallen)</w:t>
      </w:r>
    </w:p>
    <w:p>
      <w:r>
        <w:rPr>
          <w:color w:val="555555"/>
          <w:sz w:val="17"/>
        </w:rPr>
        <w:t xml:space="preserve">Zitiervorschlag: § 279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https://recht.nulegal.eu/gesetze/KAGB/279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