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277a KAGB — Master-Feeder-Strukturen</w:t>
      </w:r>
    </w:p>
    <w:p>
      <w:r>
        <w:rPr>
          <w:color w:val="555555"/>
          <w:sz w:val="18"/>
        </w:rPr>
        <w:t xml:space="preserve">Kapitalanlagegesetzbuch</w:t>
      </w:r>
    </w:p>
    <w:p>
      <w:r>
        <w:rPr>
          <w:color w:val="555555"/>
          <w:sz w:val="18"/>
        </w:rPr>
        <w:t xml:space="preserve">Stand: 10.09.2021 (konsolidierte Textfassung, kein amtliches Inkrafttretensdatum)</w:t>
      </w:r>
    </w:p>
    <w:p>
      <w:r>
        <w:t xml:space="preserve">Spezial-AIF dürfen nicht Teil einer Master-Feeder-Struktur sein, wenn Publikumsinvestmentvermögen Teil derselben Master-Feeder-Struktur sind.</w:t>
      </w:r>
    </w:p>
    <w:p>
      <w:r>
        <w:rPr>
          <w:color w:val="555555"/>
          <w:sz w:val="17"/>
        </w:rPr>
        <w:t xml:space="preserve">Zitiervorschlag: § 277a KAGB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https://recht.nulegal.eu/gesetze/KAGB/277a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