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276 KAGB — Leerverkäufe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AIF-Kapitalverwaltungsgesellschaft darf für gemeinschaftliche Rechnung der Anleger keine Vermögensgegenstände nach Maßgabe der §§ 193, 194 und 196 verkaufen, wenn die jeweiligen Vermögensgegenstände im Zeitpunkt des Geschäftsabschlusses nicht zum Spezial-AIF gehören; § 197 bleibt unberührt. Die Wirksamkeit des Rechtsgeschäfts wird durch einen Verstoß gegen Satz 1 nicht berührt.</w:t>
      </w:r>
    </w:p>
    <w:p>
      <w:r>
        <w:t xml:space="preserve">(2) Absatz 1 findet keine Anwendung auf AIF-Kapitalverwaltungsgesellschaften, die Hedgefonds verwalten. Die Bundesanstalt kann Leerverkäufe im Sinne des § 283 Absatz 1 Satz 1 Nummer 2 beschränken, wenn sie dies zum Schutz der Anleger oder zur Gewährleistung der Stabilität und Integrität des Finanzsystems als nötig erachtet.</w:t>
      </w:r>
    </w:p>
    <w:p>
      <w:r>
        <w:rPr>
          <w:color w:val="555555"/>
          <w:sz w:val="17"/>
        </w:rPr>
        <w:t xml:space="preserve">Zitiervorschlag: § 276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