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274 KAGB — Begrenzung von Leverage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Informationspflicht der AIF-Kapitalverwaltungsgesellschaft im Hinblick auf das eingesetzte Leverage sowie die Befugnis der Bundesanstalt zur Beschränkung des eingesetzten Leverage einschließlich der Mitteilungspflichten der Bundesanstalt gilt § 215 entsprechend. Die Bedingungen, unter welchen die Maßnahmen nach Satz 1 in Verbindung mit § 215 Absatz 2 angewendet werden, bestimmen sich nach Artikel 112 der Delegierten Verordnung (EU) Nr. 231/2013.</w:t>
      </w:r>
    </w:p>
    <w:p>
      <w:r>
        <w:rPr>
          <w:color w:val="555555"/>
          <w:sz w:val="17"/>
        </w:rPr>
        <w:t xml:space="preserve">Zitiervorschlag: § 274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https://recht.nulegal.eu/gesetze/KAGB/274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