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273 KAGB — Anlagebedingungen</w:t>
      </w:r>
    </w:p>
    <w:p>
      <w:r>
        <w:rPr>
          <w:color w:val="555555"/>
          <w:sz w:val="18"/>
        </w:rPr>
        <w:t xml:space="preserve">Kapitalanlagegesetzbuch</w:t>
      </w:r>
    </w:p>
    <w:p>
      <w:r>
        <w:rPr>
          <w:color w:val="555555"/>
          <w:sz w:val="18"/>
        </w:rPr>
        <w:t xml:space="preserve">Stand: 10.09.2021 (konsolidierte Textfassung, kein amtliches Inkrafttretensdatum)</w:t>
      </w:r>
    </w:p>
    <w:p>
      <w:r>
        <w:t xml:space="preserve">Die Anlagebedingungen, nach denen sich</w:t>
      </w:r>
    </w:p>
    <w:p>
      <w:pPr>
        <w:ind w:left="420"/>
      </w:pPr>
      <w:r>
        <w:t xml:space="preserve">1. das vertragliche Rechtsverhältnis einer AIF-Kapitalverwaltungsgesellschaft oder einer EU-AIF-Verwaltungsgesellschaft zu den Anlegern eines Spezialsondervermögens bestimmt oder</w:t>
      </w:r>
    </w:p>
    <w:p>
      <w:pPr>
        <w:ind w:left="420"/>
      </w:pPr>
      <w:r>
        <w:t xml:space="preserve">2. in Verbindung mit der Satzung einer Spezialinvestmentaktiengesellschaft das Rechtsverhältnis dieser Investmentaktiengesellschaft zu ihren Anlegern bestimmt oder</w:t>
      </w:r>
    </w:p>
    <w:p>
      <w:pPr>
        <w:ind w:left="420"/>
      </w:pPr>
      <w:r>
        <w:t xml:space="preserve">3. in Verbindung mit dem Gesellschaftsvertrag einer Spezialinvestmentkommanditgesellschaft das Rechtsverhältnis dieser Investmentkommanditgesellschaft zu ihren Anlegern bestimmt,</w:t>
      </w:r>
    </w:p>
    <w:p>
      <w:r>
        <w:t xml:space="preserve">sind vor Ausgabe der Anteile oder Aktien in Textform festzuhalten. Die Anlagebedingungen von inländischen Spezial-AIF sowie die wesentlichen Änderungen der Anlagebedingungen sind der Bundesanstalt von der AIF-Kapitalverwaltungsgesellschaft vorzulegen.</w:t>
      </w:r>
    </w:p>
    <w:p>
      <w:r>
        <w:rPr>
          <w:color w:val="555555"/>
          <w:sz w:val="17"/>
        </w:rPr>
        <w:t xml:space="preserve">Zitiervorschlag: § 273 KAGB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https://recht.nulegal.eu/gesetze/KAGB/273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