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272c KAGB — Anlagegrenzen, Anlagebeschränkungen</w:t>
      </w:r>
    </w:p>
    <w:p>
      <w:r>
        <w:rPr>
          <w:color w:val="555555"/>
          <w:sz w:val="18"/>
        </w:rPr>
        <w:t xml:space="preserve">Kapitalanlagegesetzbuch</w:t>
      </w:r>
    </w:p>
    <w:p>
      <w:r>
        <w:rPr>
          <w:color w:val="555555"/>
          <w:sz w:val="18"/>
        </w:rPr>
        <w:t xml:space="preserve">Stand: 10.09.2021 (konsolidierte Textfassung, kein amtliches Inkrafttretensdatum)</w:t>
      </w:r>
    </w:p>
    <w:p>
      <w:r>
        <w:t xml:space="preserve">(1) Die Kapitalverwaltungsgesellschaft hat für einen geschlossenen Feederfonds ungeachtet von § 262 mindestens 85 Prozent des Wertes des geschlossenen Feederfonds in Anteile eines geschlossenen Masterfonds anzulegen. Der geschlossenen Feederfonds darf erst dann abweichend von § 262 Absatz 1 Satz 1 und 3 und Absatz 2 Satz 1 in Anteile eines geschlossenen Masterfonds anlegen, wenn die Genehmigung nach § 272a Absatz 1 Satz 2 erteilt worden ist und die geschlossene Master-Feeder-Vereinbarung nach § 272d Absatz 1 Satz 2 oder 3 und, falls erforderlich, die Verwahrstellenvereinbarung nach § 272d Absatz 2 und die Abschlussprüfervereinbarung nach § 272d Absatz 3 wirksam geworden sind.</w:t>
      </w:r>
    </w:p>
    <w:p>
      <w:r>
        <w:t xml:space="preserve">(2) Die Kapitalverwaltungsgesellschaft darf für Rechnung eines geschlossenen Masterfonds keine Anteile an einem geschlossenen Feederfonds halten.</w:t>
      </w:r>
    </w:p>
    <w:p>
      <w:r>
        <w:rPr>
          <w:color w:val="555555"/>
          <w:sz w:val="17"/>
        </w:rPr>
        <w:t xml:space="preserve">Zitiervorschlag: § 272c KAGB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https://recht.nulegal.eu/gesetze/KAGB/272c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