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272 KAGB — Häufigkeit der Bewertung und Berechnung; Offenlegung</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Die Bewertung der Vermögensgegenstände und die Berechnung des Nettoinventarwertes je Anteil oder Aktie müssen mindestens einmal jährlich erfolgen. Die Bewertung und Berechnung sind darüber hinaus auch dann durchzuführen, wenn das Gesellschaftsvermögen des AIF erhöht oder herabgesetzt wird.</w:t>
      </w:r>
    </w:p>
    <w:p>
      <w:r>
        <w:t xml:space="preserve">(2) Die Kriterien zur Berechnung des Nettoinventarwertes je Anteil oder Aktie und zur Bestimmung der Häufigkeit der Berechnung bestimmen sich nach den Artikeln 67 bis 73 der Delegierten Verordnung (EU) Nr. 231/2013.</w:t>
      </w:r>
    </w:p>
    <w:p>
      <w:r>
        <w:t xml:space="preserve">(3) Die Bewertungen der Vermögensgegenstände und Berechnungen des Nettoinventarwertes je Anteil oder Aktie sind entsprechend den diesbezüglichen Anlagebedingungen gegenüber den Anlegern offenzulegen. Eine Offenlegung hat nach jeder Bewertung der Vermögensgegenstände und Berechnung des Nettoinventarwertes je Anteil oder Aktie zu erfolgen.</w:t>
      </w:r>
    </w:p>
    <w:p>
      <w:r>
        <w:rPr>
          <w:color w:val="555555"/>
          <w:sz w:val="17"/>
        </w:rPr>
        <w:t xml:space="preserve">Zitiervorschlag: § 272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