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271 KAGB — Bewertung, Bewertungsverfahren, Bewerter</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 168 ist für die Bewertung mit folgenden Maßgaben anzuwenden:</w:t>
      </w:r>
    </w:p>
    <w:p>
      <w:pPr>
        <w:ind w:left="420"/>
      </w:pPr>
      <w:r>
        <w:t xml:space="preserve">1. Als Verkehrswert der Vermögensgegenstände im Sinne des § 261 Absatz 1 Nummer 1 ist für den Zeitraum von zwölf Monaten nach dem Erwerb der Kaufpreis des Vermögensgegenstandes anzusetzen. Ist die AIF-Kapitalverwaltungsgesellschaft der Auffassung, dass der Kaufpreis auf Grund von Änderungen wesentlicher Bewertungsfaktoren nicht mehr sachgerecht ist, so ist der Verkehrswert neu zu ermitteln; die Kapitalverwaltungsgesellschaft hat ihre Entscheidungen und die sie tragenden Gründe nachvollziehbar zu dokumentieren.</w:t>
      </w:r>
    </w:p>
    <w:p>
      <w:pPr>
        <w:ind w:left="420"/>
      </w:pPr>
      <w:r>
        <w:t xml:space="preserve">2. Bei Vermögensgegenständen im Sinne des § 261 Absatz 1 Nummer 1 sind die Anschaffungsnebenkosten gesondert anzusetzen und über die voraussichtliche Dauer der Zugehörigkeit des Vermögensgegenstandes, längstens jedoch über zehn Jahre in gleichen Jahresbeträgen abzuschreiben. Wird ein Vermögensgegenstand veräußert, sind die Anschaffungsnebenkosten in voller Höhe abzuschreiben. In einer Anlage zur Vermögensaufstellung sind die im Berichtszeitraum getätigten Käufe und Verkäufe von Vermögensgegenständen im Sinne des § 261 Absatz 1 Nummer 1 anzugeben.</w:t>
      </w:r>
    </w:p>
    <w:p>
      <w:r>
        <w:t xml:space="preserve">(2) § 169 ist für das Bewertungsverfahren mit der Maßgabe anzuwenden, dass die Bewertungsrichtlinien für geschlossene Publikums-AIF, die in Vermögensgegenstände im Sinne des § 261 Absatz 1 Nummer 1 investieren, zusätzlich vorzusehen haben, dass der Bewerter an einer Objektbesichtigung teilnimmt.</w:t>
      </w:r>
    </w:p>
    <w:p>
      <w:r>
        <w:t xml:space="preserve">(3) Die AIF-Kapitalverwaltungsgesellschaft muss jede Gesellschaft im Sinne des § 261 Absatz 1 Nummer 2 bis 6, an der ein geschlossener Publikums-AIF eine Beteiligung hält, vertraglich verpflichten, Vermögensaufstellungen</w:t>
      </w:r>
    </w:p>
    <w:p>
      <w:pPr>
        <w:ind w:left="420"/>
      </w:pPr>
      <w:r>
        <w:t xml:space="preserve">1. auf den Zeitpunkt der Bewertung gemäß § 272 bei der AIF-Kapitalverwaltungsgesellschaft und der Verwahrstelle einzureichen und</w:t>
      </w:r>
    </w:p>
    <w:p>
      <w:pPr>
        <w:ind w:left="420"/>
      </w:pPr>
      <w:r>
        <w:t xml:space="preserve">2. einmal jährlich anhand des von einem Abschlussprüfer mit einem Bestätigungsvermerk versehenen Jahresabschlusses der Gesellschaft prüfen zu lassen.</w:t>
      </w:r>
    </w:p>
    <w:p>
      <w:r>
        <w:t xml:space="preserve">Die Anforderung des Satzes 1 gilt auch für eine Unterbeteiligung an einer Gesellschaft im Sinne des § 261 Absatz 1 Nummer 2 bis 6. Der auf Grund der Vermögensaufstellungen ermittelte Wert der Beteiligung an einer Gesellschaft ist bei den Bewertungen zur laufenden Preisermittlung zugrunde zu legen.</w:t>
      </w:r>
    </w:p>
    <w:p>
      <w:r>
        <w:t xml:space="preserve">(4) Für die Anforderungen an den Bewerter, die Pflichten der AIF-Kapitalverwaltungsgesellschaft bei der Bestellung eines Bewerters sowie die Rechte der Bundesanstalt im Hinblick auf den Bewerter gilt § 216 entsprechend.</w:t>
      </w:r>
    </w:p>
    <w:p>
      <w:r>
        <w:rPr>
          <w:color w:val="555555"/>
          <w:sz w:val="17"/>
        </w:rPr>
        <w:t xml:space="preserve">Zitiervorschlag: § 271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