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KAGB — Interessenkonflikte; Verordnungsermächtigung</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Eine Kapitalverwaltungsgesellschaft hat alle angemessenen Maßnahmen zu treffen, um Interessenkonflikte zu ermitteln, die im Zusammenhang mit der Verwaltung von Investmentvermögen auftreten zwischen</w:t>
      </w:r>
    </w:p>
    <w:p>
      <w:pPr>
        <w:ind w:left="420"/>
      </w:pPr>
      <w:r>
        <w:t xml:space="preserve">1. der Kapitalverwaltungsgesellschaft sowie ihren Führungskräften, Mitarbeitern oder jeder anderen Person, die über ein Kontrollverhältnis direkt oder indirekt mit der Kapitalverwaltungsgesellschaft verbunden ist, und dem von ihr verwalteten Investmentvermögen oder den Anlegern dieses Investmentvermögens,</w:t>
      </w:r>
    </w:p>
    <w:p>
      <w:pPr>
        <w:ind w:left="420"/>
      </w:pPr>
      <w:r>
        <w:t xml:space="preserve">2. dem Investmentvermögen oder den Anlegern dieses Investmentvermögens und einem anderen Investmentvermögen oder den Anlegern jenes Investmentvermögens,</w:t>
      </w:r>
    </w:p>
    <w:p>
      <w:pPr>
        <w:ind w:left="420"/>
      </w:pPr>
      <w:r>
        <w:t xml:space="preserve">3. dem Investmentvermögen oder den Anlegern dieses Investmentvermögens und einem anderen Kunden der Kapitalverwaltungsgesellschaft,</w:t>
      </w:r>
    </w:p>
    <w:p>
      <w:pPr>
        <w:ind w:left="420"/>
      </w:pPr>
      <w:r>
        <w:t xml:space="preserve">4. zwei Kunden der Kapitalverwaltungsgesellschaft.</w:t>
      </w:r>
    </w:p>
    <w:p>
      <w:r>
        <w:t xml:space="preserve">(2) Eine Kapitalverwaltungsgesellschaft muss wirksame organisatorische und administrative Vorkehrungen, die es ermöglichen, alle angemessenen Maßnahmen zur Ermittlung, Vorbeugung, Beilegung und Beobachtung von Interessenkonflikten zu ergreifen, treffen und beibehalten, um zu verhindern, dass Interessenkonflikte den Interessen der Investmentvermögen und ihrer Anleger schaden.</w:t>
      </w:r>
    </w:p>
    <w:p>
      <w:r>
        <w:t xml:space="preserve">(3) Innerhalb ihrer eigenen Betriebsabläufe haben AIF-Kapitalverwaltungsgesellschaften Aufgaben und Verantwortungsbereiche, die als miteinander unvereinbar angesehen werden könnten oder potenziell systematische Interessenkonflikte hervorrufen könnten, zu trennen. AIF-Kapitalverwaltungsgesellschaften haben zu prüfen, ob die Bedingungen der Ausübung ihrer Tätigkeit wesentliche andere Interessenkonflikte nach sich ziehen könnten und legen diese den Anlegern der AIF gegenüber offen.</w:t>
      </w:r>
    </w:p>
    <w:p>
      <w:r>
        <w:t xml:space="preserve">(4) Reichen die von der AIF-Kapitalverwaltungsgesellschaft zur Ermittlung, Vorbeugung, Beilegung und Beobachtung von Interessenkonflikten getroffenen organisatorischen Vorkehrungen nicht aus, um nach vernünftigem Ermessen zu gewährleisten, dass das Risiko einer Beeinträchtigung von Anlegerinteressen vermieden wird, so setzt die AIF-Kapitalverwaltungsgesellschaft die Anleger, bevor sie in ihrem Auftrag Geschäfte tätigt, unmissverständlich über die allgemeine Art und die Quellen der Interessenkonflikte in Kenntnis und entwickelt angemessene Strategien und Verfahren.</w:t>
      </w:r>
    </w:p>
    <w:p>
      <w:r>
        <w:t xml:space="preserve">(4a) Verwaltet eine Kapitalverwaltungsgesellschaft ein Investmentvermögen auf Initiative eines Dritten oder beabsichtigt sie dies, so</w:t>
      </w:r>
    </w:p>
    <w:p>
      <w:pPr>
        <w:ind w:left="420"/>
      </w:pPr>
      <w:r>
        <w:t xml:space="preserve">1. legt eine AIF-Kapitalverwaltungsgesellschaft der Bundesanstalt ausführliche Erläuterungen und Belege unter Berücksichtigung etwaiger Interessenkonflikte für die Einhaltung der Vorgaben der Absätze 1 bis 4 vor,</w:t>
      </w:r>
    </w:p>
    <w:p>
      <w:pPr>
        <w:ind w:left="420"/>
      </w:pPr>
      <w:r>
        <w:t xml:space="preserve">2. legt eine OGAW-Kapitalverwaltungsgesellschaft der Bundesanstalt ausführliche Erläuterungen und Belege unter Berücksichtigung etwaiger Interessenkonflikte für die Einhaltung der Vorgaben der Absätze 1 und 2 vor.</w:t>
      </w:r>
    </w:p>
    <w:p>
      <w:r>
        <w:t xml:space="preserve">Die Kapitalverwaltungsgesellschaft legt insbesondere dar, welche angemessenen Schritte sie unternommen hat, um Interessenkonflikte zu verhindern, die sich aus der Beziehung zu dem Dritten ergeben, oder, falls sich diese Konflikte nicht verhindern lassen, wie sie diese Interessenkonflikte ermittelt, handhabt, überwacht und gegebenenfalls offenlegt, damit sie die Interessen des Investmentvermögens und seiner Anleger nicht beeinträchtigen. Die Sätze 1 und 2 gelten auch für Fälle, in denen das Investmentvermögen den Namen eines als Initiator auftretenden Dritten verwendet oder in denen eine Kapitalverwaltungsgesellschaft einen als Initiator auftretenden Dritten als Auslagerungsunternehmen nach § 36 Absatz 1 bestellt.</w:t>
      </w:r>
    </w:p>
    <w:p>
      <w:r>
        <w:t xml:space="preserve">(5) Im Hinblick auf AIF-Kapitalverwaltungsgesellschaften bestimmen sich die Arten der in Absatz 1 genannten Interessenkonflikte und die angemessenen Maßnahmen, die hinsichtlich der Strukturen und der organisatorischen und administrativen Verfahren von einer AIF-Kapitalverwaltungsgesellschaft erwartet werden, um Interessenkonflikte zu ermitteln, ihnen vorzubeugen, sie zu steuern, zu beobachten und offenzulegen nach den Artikeln 30 bis 37 der Delegierten Verordnung (EU) Nr. 231/2013.</w:t>
      </w:r>
    </w:p>
    <w:p>
      <w:r>
        <w:t xml:space="preserve">(6) Das Bundesministerium der Finanzen wird ermächtigt, durch Rechtsverordnung, die nicht der Zustimmung des Bundesrates bedarf, für Kapitalverwaltungsgesellschaften in Bezug auf Publikums-AIF zusätzliche Bestimmungen zu den in den Artikeln 30 bis 37 der Delegierten Verordnung (EU) Nr. 231/2013 aufgeführten Maßnahmen und Verfahren nach Absatz 5 und in Bezug auf OGAW jeweils nähere Bestimmungen zu erlassen</w:t>
      </w:r>
    </w:p>
    <w:p>
      <w:pPr>
        <w:ind w:left="420"/>
      </w:pPr>
      <w:r>
        <w:t xml:space="preserve">1. über die Maßnahmen, die eine solche Kapitalverwaltungsgesellschaft zu ergreifen hat, um</w:t>
      </w:r>
    </w:p>
    <w:p>
      <w:pPr>
        <w:ind w:left="780"/>
      </w:pPr>
      <w:r>
        <w:t xml:space="preserve">a) Interessenkonflikte zu erkennen, ihnen vorzubeugen, mit ihnen umzugehen und sie offenzulegen sowie</w:t>
      </w:r>
    </w:p>
    <w:p>
      <w:pPr>
        <w:ind w:left="780"/>
      </w:pPr>
      <w:r>
        <w:t xml:space="preserve">b) geeignete Kriterien zur Abgrenzung der Arten von Interessenkonflikten festzulegen, die den Interessen des Investmentvermögens schaden könnten und</w:t>
      </w:r>
    </w:p>
    <w:p>
      <w:pPr>
        <w:ind w:left="420"/>
      </w:pPr>
      <w:r>
        <w:t xml:space="preserve">2. über die Strukturen und organisatorischen Anforderungen, die zur Verringerung von Interessenkonflikten nach Absatz 1 erforderlich sind.</w:t>
      </w:r>
    </w:p>
    <w:p>
      <w:r>
        <w:t xml:space="preserve">Das Bundesministerium der Finanzen kann die Ermächtigung durch Rechtsverordnung auf die Bundesanstalt übertragen.</w:t>
      </w:r>
    </w:p>
    <w:p>
      <w:r>
        <w:rPr>
          <w:color w:val="555555"/>
          <w:sz w:val="17"/>
        </w:rPr>
        <w:t xml:space="preserve">Zitiervorschlag: § 27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