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268 KAGB — Erstellung von Verkaufsprospekt und Basisinformationsblatt</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AIF-Kapitalverwaltungsgesellschaft hat für die von ihr verwalteten geschlossenen Publikums-AIF den Verkaufsprospekt und, falls der geschlossene Publikums-AIF nicht ausschließlich an professionelle Anleger vertrieben wird, das Basisinformationsblatt gemäß Verordnung (EU) Nr. 1286/2014 zu erstellen. Sobald die AIF-Kapitalverwaltungsgesellschaft mit dem Vertrieb des geschlossenen Publikums-AIF gemäß § 316 beginnen darf, hat sie dem Publikum die aktuelle Fassung des Verkaufsprospekts und des Basisinformationsblattes gemäß Verordnung (EU) Nr. 1286/2014 auf der Internetseite der AIF-Kapitalverwaltungsgesellschaft zugänglich zu machen. Die Pflicht zur Erstellung eines Verkaufsprospekts gilt nicht für solche geschlossenen AIF-Publikumsinvestmentaktiengesellschaften, die einen Prospekt nach der Verordnung (EU) 2017/1129 des Europäischen Parlaments und des Rates vom 14. Juni 2017 über den Prospekt, der beim öffentlichen Angebot von Wertpapieren oder bei deren Zulassung zum Handel an einem geregelten Markt zu veröffentlichen ist und zur Aufhebung der Richtlinie 2003/71/EG (ABl. L 168 vom 30.6.2017, S. 12) erstellen müssen und in diesen Prospekt zusätzlich die Angaben gemäß § 269 als ergänzende Informationen aufnehmen.</w:t>
      </w:r>
    </w:p>
    <w:p>
      <w:r>
        <w:t xml:space="preserve">(2) Die Angaben von wesentlicher Bedeutung im Verkaufsprospekt sind auf dem neusten Stand zu halten. Bei geschlossenen Publikums-AIF mit einer einmaligen Vertriebsphase gilt dies nur für die Dauer der Vertriebsphase.</w:t>
      </w:r>
    </w:p>
    <w:p>
      <w:r>
        <w:rPr>
          <w:color w:val="555555"/>
          <w:sz w:val="17"/>
        </w:rPr>
        <w:t xml:space="preserve">Zitiervorschlag: § 268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