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266 KAGB — Anlagebedingungen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18.04.2026 (konsolidierte Textfassung, kein amtliches Inkrafttretensdatum)</w:t>
      </w:r>
    </w:p>
    <w:p>
      <w:r>
        <w:t xml:space="preserve">(1) Die Anlagebedingungen, nach denen sich</w:t>
      </w:r>
    </w:p>
    <w:p>
      <w:pPr>
        <w:ind w:left="420"/>
      </w:pPr>
      <w:r>
        <w:t xml:space="preserve">1. in Verbindung mit der Satzung der Publikumsinvestmentaktiengesellschaft mit fixem Kapital das Rechtsverhältnis dieser Investmentaktiengesellschaft zu ihren Anlegern bestimmt oder</w:t>
      </w:r>
    </w:p>
    <w:p>
      <w:pPr>
        <w:ind w:left="420"/>
      </w:pPr>
      <w:r>
        <w:t xml:space="preserve">2. in Verbindung mit dem Gesellschaftsvertrag der geschlossenen Publikumsinvestmentkommanditgesellschaft das Rechtsverhältnis dieser Investmentkommanditgesellschaft zu ihren Anlegern bestimmt,</w:t>
      </w:r>
    </w:p>
    <w:p>
      <w:r>
        <w:t xml:space="preserve">sind vor Ausgabe der Anteile oder Aktien in Textform festzuhalten.</w:t>
      </w:r>
    </w:p>
    <w:p>
      <w:r>
        <w:t xml:space="preserve">(2) Die Anlagebedingungen müssen neben der Bezeichnung des geschlossenen Publikums-AIF, der Angabe des Namens und des Sitzes der AIF-Kapitalverwaltungsgesellschaft sowie den in § 162 Absatz 2 Nummer 5 bis 7 und 9 bis 14 genannten Angaben mindestens folgende Angaben und Vorgaben enthalten:</w:t>
      </w:r>
    </w:p>
    <w:p>
      <w:pPr>
        <w:ind w:left="420"/>
      </w:pPr>
      <w:r>
        <w:t xml:space="preserve">1. die Angaben in § 162 Absatz 2 Nummer 4, sofern den Anlegern Rückgaberechte eingeräumt werden, und</w:t>
      </w:r>
    </w:p>
    <w:p>
      <w:pPr>
        <w:ind w:left="420"/>
      </w:pPr>
      <w:r>
        <w:t xml:space="preserve">2. die Staaten und der jeweilige Anteil des geschlossenen Publikums-AIF, der in diesen Staaten höchstens angelegt werden darf, wenn eine AIF-Kapitalverwaltungsgesellschaft für einen geschlossenen Publikums-AIF Vermögensgegenstände, die außerhalb eines Vertragsstaates des Abkommens über den Europäischen Wirtschaftsraum gelegen sind, erwirbt.</w:t>
      </w:r>
    </w:p>
    <w:p>
      <w:r>
        <w:t xml:space="preserve">§ 162 Absatz 2 Nummer 1 ist mit der Maßgabe anzuwenden, dass anstelle der Angabe, welche Vermögensgegenstände in welchem Umfang erworben werden dürfen, die AIF-Kapitalverwaltungsgesellschaft in den Anlagebedingungen festlegen muss, in welche Vermögensgegenstände in welchem Umfang für den geschlossenen Publikums-AIF investiert wird.</w:t>
      </w:r>
    </w:p>
    <w:p>
      <w:r>
        <w:rPr>
          <w:color w:val="555555"/>
          <w:sz w:val="17"/>
        </w:rPr>
        <w:t xml:space="preserve">Zitiervorschlag: § 266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https://recht.nulegal.eu/gesetze/KAGB/266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