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262 KAGB — Risikomischung</w:t>
      </w:r>
    </w:p>
    <w:p>
      <w:r>
        <w:rPr>
          <w:color w:val="555555"/>
          <w:sz w:val="18"/>
        </w:rPr>
        <w:t xml:space="preserve">Kapitalanlagegesetzbuch</w:t>
      </w:r>
    </w:p>
    <w:p>
      <w:r>
        <w:rPr>
          <w:color w:val="555555"/>
          <w:sz w:val="18"/>
        </w:rPr>
        <w:t xml:space="preserve">Stand: 18.04.2026 (konsolidierte Textfassung, kein amtliches Inkrafttretensdatum)</w:t>
      </w:r>
    </w:p>
    <w:p>
      <w:r>
        <w:t xml:space="preserve">(1) Die AIF-Kapitalverwaltungsgesellschaft darf für einen geschlossenen inländischen Publikums-AIF nur nach dem Grundsatz der Risikomischung investieren. Der Grundsatz der Risikomischung im Sinne des Satzes 1 gilt als erfüllt, wenn</w:t>
      </w:r>
    </w:p>
    <w:p>
      <w:pPr>
        <w:ind w:left="420"/>
      </w:pPr>
      <w:r>
        <w:t xml:space="preserve">1. entweder in mindestens drei Sachwerte im Sinne des § 261 Absatz 2 investiert wird und die Anteile jedes einzelnen Sachwertes am Kapital des AIF im Wesentlichen gleichmäßig verteilt sind oder</w:t>
      </w:r>
    </w:p>
    <w:p>
      <w:pPr>
        <w:ind w:left="420"/>
      </w:pPr>
      <w:r>
        <w:t xml:space="preserve">2. bei wirtschaftlicher Betrachtungsweise eine Streuung des Ausfallrisikos gewährleistet ist.</w:t>
      </w:r>
    </w:p>
    <w:p>
      <w:r>
        <w:t xml:space="preserve">Der geschlossene inländische Publikums-AIF muss spätestens 18 Monate nach Beginn des Vertriebs risikogemischt investiert sein. Für den Zeitraum nach Satz 3, in dem der geschlossene Publikums-AIF noch nicht risikogemischt investiert ist, sind die Anleger in dem Verkaufsprospekt darauf hinzuweisen.</w:t>
      </w:r>
    </w:p>
    <w:p>
      <w:r>
        <w:t xml:space="preserve">(2) Abweichend von Absatz 1 darf die AIF-Kapitalverwaltungsgesellschaft für den geschlossenen inländischen Publikums-AIF ohne Einhaltung des Grundsatzes der Risikomischung investieren, wenn</w:t>
      </w:r>
    </w:p>
    <w:p>
      <w:pPr>
        <w:ind w:left="420"/>
      </w:pPr>
      <w:r>
        <w:t xml:space="preserve">1. sie für den geschlossenen inländischen Publikums-AIF nicht in Vermögensgegenstände im Sinne des § 261 Absatz 1 Nummer 4 investiert und</w:t>
      </w:r>
    </w:p>
    <w:p>
      <w:pPr>
        <w:ind w:left="420"/>
      </w:pPr>
      <w:r>
        <w:t xml:space="preserve">2. die Anteile oder Aktien dieses AIF nur von solchen Privatanlegern erworben werden,</w:t>
      </w:r>
    </w:p>
    <w:p>
      <w:pPr>
        <w:ind w:left="780"/>
      </w:pPr>
      <w:r>
        <w:t xml:space="preserve">a) die sich verpflichten, mindestens 20 000 Euro zu investieren, und</w:t>
      </w:r>
    </w:p>
    <w:p>
      <w:pPr>
        <w:ind w:left="780"/>
      </w:pPr>
      <w:r>
        <w:t xml:space="preserve">b) für die die in § 1 Absatz 19 Nummer 33 Buchstabe a Doppelbuchstabe bb bis ee genannten Voraussetzungen erfüllt sind.</w:t>
      </w:r>
    </w:p>
    <w:p>
      <w:r>
        <w:t xml:space="preserve">Ein nachfolgender Erwerb der Anteile oder Aktien dieses AIF kraft Gesetzes durch einen Privatanleger, der die Anforderungen nach Satz 1 Nummer 2 nicht erfüllt, ist unbeachtlich. Wenn für den geschlossenen inländischen Publikums-AIF ohne Einhaltung des Grundsatzes der Risikomischung investiert wird, müssen der Verkaufsprospekt an hervorgehobener Stelle auf das Ausfallrisiko mangels Risikomischung hinweisen.</w:t>
      </w:r>
    </w:p>
    <w:p>
      <w:r>
        <w:t xml:space="preserve">(3) Abweichend von Absatz 1 darf die AIF-Kapitalverwaltungsgesellschaft für den geschlossenen inländischen Publikums-AIF ohne Einhaltung des Grundsatzes der Risikomischung investieren, wenn</w:t>
      </w:r>
    </w:p>
    <w:p>
      <w:pPr>
        <w:ind w:left="420"/>
      </w:pPr>
      <w:r>
        <w:t xml:space="preserve">1. sie für den geschlossenen inländischen Publikums-AIF ausschließlich in Vermögensgegenstände nach § 261 Absatz 2 Nummer 4 investiert und</w:t>
      </w:r>
    </w:p>
    <w:p>
      <w:pPr>
        <w:ind w:left="420"/>
      </w:pPr>
      <w:r>
        <w:t xml:space="preserve">2. die Anleger ausschließlich ansässig sind</w:t>
      </w:r>
    </w:p>
    <w:p>
      <w:pPr>
        <w:ind w:left="780"/>
      </w:pPr>
      <w:r>
        <w:t xml:space="preserve">a) in der Gemeinde oder den Gemeinden, auf deren Gemeindegebiet sich der Vermögensgegenstand befindet, oder in einer unmittelbar an diese Gemeinde oder diese Gemeinden angrenzenden Gemeinde oder</w:t>
      </w:r>
    </w:p>
    <w:p>
      <w:pPr>
        <w:ind w:left="780"/>
      </w:pPr>
      <w:r>
        <w:t xml:space="preserve">b) im Fall einer Windenergieanlage an Land im Sinne von § 3 Nummer 48 des Erneuerbare-Energien-Gesetzes in einer Gemeinde im Sinne von § 6 Absatz 2 Satz 2 des Erneuerbare-Energien-Gesetzes.</w:t>
      </w:r>
    </w:p>
    <w:p>
      <w:r>
        <w:t xml:space="preserve">(4) Anleger gelten als ansässig im Sinne von Absatz 3, wenn sie</w:t>
      </w:r>
    </w:p>
    <w:p>
      <w:pPr>
        <w:ind w:left="420"/>
      </w:pPr>
      <w:r>
        <w:t xml:space="preserve">1. als natürliche Personen ihren Haupt- oder Nebenwohnsitz in einer der in Absatz 3 Nummer 2 genannten Gemeinden haben oder</w:t>
      </w:r>
    </w:p>
    <w:p>
      <w:pPr>
        <w:ind w:left="420"/>
      </w:pPr>
      <w:r>
        <w:t xml:space="preserve">2. Eigentümer eines Grundstückes in einer der in Absatz 3 Nummer 2 genannten Gemeinden sind, ohne bereits als Anleger des geschlossenen inländischen Publikums-AIF Miteigentümer des Grundstücks zu sein, auf dem sich die in Absatz 3 Nummer 1 genannten Vermögensgegenstände befinden oder errichtet werden sollen.</w:t>
      </w:r>
    </w:p>
    <w:p>
      <w:r>
        <w:rPr>
          <w:color w:val="555555"/>
          <w:sz w:val="17"/>
        </w:rPr>
        <w:t xml:space="preserve">Zitiervorschlag: § 262 KAGB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https://recht.nulegal.eu/gesetze/KAGB/262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