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261 KAGB — Zulässige Vermögensgegenstände, Anlagegrenzen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AIF-Kapitalverwaltungsgesellschaft darf für einen geschlossenen inländischen Publikums-AIF nur investieren in</w:t>
      </w:r>
    </w:p>
    <w:p>
      <w:pPr>
        <w:ind w:left="420"/>
      </w:pPr>
      <w:r>
        <w:t xml:space="preserve">1. Sachwerte,</w:t>
      </w:r>
    </w:p>
    <w:p>
      <w:pPr>
        <w:ind w:left="420"/>
      </w:pPr>
      <w:r>
        <w:t xml:space="preserve">2. Anteile oder Aktien an ÖPP-Projektgesellschaften und Infrastruktur-Projektgesellschaften,</w:t>
      </w:r>
    </w:p>
    <w:p>
      <w:pPr>
        <w:ind w:left="420"/>
      </w:pPr>
      <w:r>
        <w:t xml:space="preserve">3. Anteile oder Aktien an Gesellschaften, die nach dem Gesellschaftsvertrag oder der Satzung nur Vermögensgegenstände im Sinne der Nummer 1 sowie die zur Bewirtschaftung dieser Vermögensgegenstände erforderlichen Vermögensgegenstände oder Beteiligungen an solchen Gesellschaften erwerben dürfen,</w:t>
      </w:r>
    </w:p>
    <w:p>
      <w:pPr>
        <w:ind w:left="420"/>
      </w:pPr>
      <w:r>
        <w:t xml:space="preserve">4. Beteiligungen an Unternehmen, die nicht zum Handel an einer Börse zugelassen oder in einen organisierten Markt einbezogen sind,</w:t>
      </w:r>
    </w:p>
    <w:p>
      <w:pPr>
        <w:ind w:left="420"/>
      </w:pPr>
      <w:r>
        <w:t xml:space="preserve">5. Anteile oder Aktien an inländischen Publikums-AIF oder an europäischen oder ausländischen Publikums-AIF, deren Anlagepolitik vergleichbaren Anforderungen unterliegt,</w:t>
      </w:r>
    </w:p>
    <w:p>
      <w:pPr>
        <w:ind w:left="420"/>
      </w:pPr>
      <w:r>
        <w:t xml:space="preserve">6. Anteile oder Aktien an inländischen Spezial-AIF oder an EU-Spezial-AIF oder ausländischen Spezial-AIF, deren Anlagepolitik vergleichbaren Anforderungen unterliegt,</w:t>
      </w:r>
    </w:p>
    <w:p>
      <w:pPr>
        <w:ind w:left="420"/>
      </w:pPr>
      <w:r>
        <w:t xml:space="preserve">7. Vermögensgegenstände nach den §§ 193 bis 195,</w:t>
      </w:r>
    </w:p>
    <w:p>
      <w:pPr>
        <w:ind w:left="420"/>
      </w:pPr>
      <w:r>
        <w:t xml:space="preserve">8. Gesellschafterdarlehen mit der Maßgabe, dass höchstens 30 Prozent des Kapitals des AIF für diese Kredite verwendet werden und die dem jeweiligen Unternehmen gewährten Kredite nicht die Anschaffungskosten der an dem Unternehmen gehaltenen Beteiligungen überschreiten,</w:t>
      </w:r>
    </w:p>
    <w:p>
      <w:pPr>
        <w:ind w:left="420"/>
      </w:pPr>
      <w:r>
        <w:t xml:space="preserve">9. Kryptowerte zu Anlagezwecken, wenn deren Verkehrswert ermittelt werden kann,</w:t>
      </w:r>
    </w:p>
    <w:p>
      <w:pPr>
        <w:ind w:left="420"/>
      </w:pPr>
      <w:r>
        <w:t xml:space="preserve">10. Kredite mit der Maßgabe, dass höchstens 50 Prozent des Kapitals des AIF für die Kreditvergabe verwendet werden.</w:t>
      </w:r>
    </w:p>
    <w:p>
      <w:r>
        <w:t xml:space="preserve">(2) Sachwerte im Sinne von Absatz 1 Nummer 1 sind insbesondere</w:t>
      </w:r>
    </w:p>
    <w:p>
      <w:pPr>
        <w:ind w:left="420"/>
      </w:pPr>
      <w:r>
        <w:t xml:space="preserve">1. Immobilien, einschließlich Wald, Forst und Agrarland,</w:t>
      </w:r>
    </w:p>
    <w:p>
      <w:pPr>
        <w:ind w:left="420"/>
      </w:pPr>
      <w:r>
        <w:t xml:space="preserve">2. Schiffe, Schiffsaufbauten und Schiffsbestand- und -ersatzteile,</w:t>
      </w:r>
    </w:p>
    <w:p>
      <w:pPr>
        <w:ind w:left="420"/>
      </w:pPr>
      <w:r>
        <w:t xml:space="preserve">3. Luftfahrzeuge, Luftfahrzeugbestand- und -ersatzteile,</w:t>
      </w:r>
    </w:p>
    <w:p>
      <w:pPr>
        <w:ind w:left="420"/>
      </w:pPr>
      <w:r>
        <w:t xml:space="preserve">4. Anlagen zur Bewirtschaftung von erneuerbaren Energien im Sinne von § 1 Absatz 19 Nummer 6a,</w:t>
      </w:r>
    </w:p>
    <w:p>
      <w:pPr>
        <w:ind w:left="420"/>
      </w:pPr>
      <w:r>
        <w:t xml:space="preserve">5. Schienenfahrzeuge, Schienenfahrzeugbestand- und -ersatzteile,</w:t>
      </w:r>
    </w:p>
    <w:p>
      <w:pPr>
        <w:ind w:left="420"/>
      </w:pPr>
      <w:r>
        <w:t xml:space="preserve">6. Fahrzeuge, die im Rahmen der Elektromobilität genutzt werden,</w:t>
      </w:r>
    </w:p>
    <w:p>
      <w:pPr>
        <w:ind w:left="420"/>
      </w:pPr>
      <w:r>
        <w:t xml:space="preserve">7. Container,</w:t>
      </w:r>
    </w:p>
    <w:p>
      <w:pPr>
        <w:ind w:left="420"/>
      </w:pPr>
      <w:r>
        <w:t xml:space="preserve">8. für Vermögensgegenstände im Sinne der Nummern 2 bis 6 genutzte Infrastruktur.</w:t>
      </w:r>
    </w:p>
    <w:p>
      <w:r>
        <w:t xml:space="preserve">(3) Geschäfte, die Derivate zum Gegenstand haben, dürfen nur zur Absicherung von im geschlossenen inländischen Publikums-AIF gehaltenen Vermögensgegenständen gegen einen Wertverlust getätigt werden.</w:t>
      </w:r>
    </w:p>
    <w:p>
      <w:r>
        <w:t xml:space="preserve">(4) Die AIF-Kapitalverwaltungsgesellschaft hat sicherzustellen, dass die Vermögensgegenstände eines geschlossenen inländischen Publikums-AIF nur insoweit einem Währungsrisiko unterliegen, als der Wert der einem solchen Risiko unterliegenden Vermögensgegenstände 30 Prozent des Kapitals des AIF nicht übersteigt. Die AIF-Kapitalverwaltungsgesellschaft muss sicherstellen, dass der Anteil der für Rechnung des geschlossenen inländischen Publikums-AIF gehaltenen Kryptowerte zehn Prozent des Wertes des geschlossenen inländischen Publikums-AIF nicht übersteigt.</w:t>
      </w:r>
    </w:p>
    <w:p>
      <w:r>
        <w:t xml:space="preserve">(5) In einen Vermögensgegenstand im Sinne des Absatzes 1 Nummer 1 darf nur investiert werden, wenn</w:t>
      </w:r>
    </w:p>
    <w:p>
      <w:pPr>
        <w:ind w:left="420"/>
      </w:pPr>
      <w:r>
        <w:t xml:space="preserve">1. der Vermögensgegenstand zuvor bei einem Wert des</w:t>
      </w:r>
    </w:p>
    <w:p>
      <w:pPr>
        <w:ind w:left="780"/>
      </w:pPr>
      <w:r>
        <w:t xml:space="preserve">a) Vermögensgegenstandes bis zu einschließlich 50 Millionen Euro von einem externen Bewerter, der die Anforderungen nach § 216 Absatz 1 Satz 1 Nummer 1 und Satz 2, Absatz 2 bis 5 erfüllt, oder</w:t>
      </w:r>
    </w:p>
    <w:p>
      <w:pPr>
        <w:ind w:left="780"/>
      </w:pPr>
      <w:r>
        <w:t xml:space="preserve">b) Vermögensgegenstandes über 50 Millionen Euro von zwei externen, voneinander unabhängigen Bewertern, die die Anforderungen nach § 216 Absatz 1 Satz 1 Nummer 1 und Satz 2, Absatz 2 bis 5 erfüllen und die die Bewertung des Vermögensgegenstandes unabhängig voneinander vornehmen,</w:t>
      </w:r>
    </w:p>
    <w:p>
      <w:pPr>
        <w:ind w:left="420"/>
      </w:pPr>
      <w:r>
        <w:t xml:space="preserve">bewertet wurde,</w:t>
      </w:r>
    </w:p>
    <w:p>
      <w:pPr>
        <w:ind w:left="420"/>
      </w:pPr>
      <w:r>
        <w:t xml:space="preserve">2. der externe Bewerter im Sinne von Nummer 1 Buchstabe a oder die externen Bewerter im Sinne von Nummer 1 Buchstabe b nicht zugleich die jährliche Bewertung der Vermögensgegenstände gemäß § 272 durchführt oder durchführen und</w:t>
      </w:r>
    </w:p>
    <w:p>
      <w:pPr>
        <w:ind w:left="420"/>
      </w:pPr>
      <w:r>
        <w:t xml:space="preserve">3. die aus dem geschlossenen inländischen Publikums-AIF zu erbringende Gegenleistung den ermittelten Wert nicht oder nur unwesentlich übersteigt.</w:t>
      </w:r>
    </w:p>
    <w:p>
      <w:r>
        <w:t xml:space="preserve">§ 250 Absatz 2 und § 271 Absatz 2 gelten entsprechend.</w:t>
      </w:r>
    </w:p>
    <w:p>
      <w:r>
        <w:t xml:space="preserve">(6) Vor der Investition in einen Vermögensgegenstand im Sinne des Absatzes 1 Nummer 2 bis 6 ist der Wert der ÖPP-Projektgesellschaft, der Infrastruktur-Projektgesellschaft, der Gesellschaft im Sinne des Absatzes 1 Nummer 3, des Unternehmens im Sinne des Absatzes 1 Nummer 4 oder des geschlossenen AIF im Sinne des Absatzes 1 Nummer 5 oder Nummer 6</w:t>
      </w:r>
    </w:p>
    <w:p>
      <w:pPr>
        <w:ind w:left="420"/>
      </w:pPr>
      <w:r>
        <w:t xml:space="preserve">1. durch</w:t>
      </w:r>
    </w:p>
    <w:p>
      <w:pPr>
        <w:ind w:left="780"/>
      </w:pPr>
      <w:r>
        <w:t xml:space="preserve">a) einen externen Bewerter, der die Anforderungen nach § 216 Absatz 1 Satz 1 Nummer 1 und Satz 2, Absatz 2 bis 5 erfüllt, wenn der Wert des Vermögensgegenstandes 50 Millionen Euro nicht übersteigt, oder</w:t>
      </w:r>
    </w:p>
    <w:p>
      <w:pPr>
        <w:ind w:left="780"/>
      </w:pPr>
      <w:r>
        <w:t xml:space="preserve">b) zwei externe, voneinander unabhängige Bewerter, die die Anforderungen nach § 216 Absatz 1 Satz 1 Nummer 1 und Satz 2, Absatz 2 bis 5 erfüllen und die die Bewertung des Vermögensgegenstandes unabhängig voneinander vornehmen,</w:t>
      </w:r>
    </w:p>
    <w:p>
      <w:pPr>
        <w:ind w:left="420"/>
      </w:pPr>
      <w:r>
        <w:t xml:space="preserve">zu ermitteln, wobei</w:t>
      </w:r>
    </w:p>
    <w:p>
      <w:pPr>
        <w:ind w:left="420"/>
      </w:pPr>
      <w:r>
        <w:t xml:space="preserve">2. der externe Bewerter im Sinne von Nummer 1 Buchstabe a oder die externen Bewerter im Sinne von Nummer 1 Buchstabe b nicht zugleich die jährliche Bewertung der Vermögensgegenstände gemäß § 272 durchführt oder durchführen.</w:t>
      </w:r>
    </w:p>
    <w:p>
      <w:r>
        <w:t xml:space="preserve">§ 250 Absatz 2 gilt entsprechend. Bei der Bewertung ist von dem letzten mit Bestätigungsvermerk eines Abschlussprüfers versehenen Jahresabschluss der ÖPP-Projektgesellschaft, der Infrastruktur-Projektgesellschaft, der Gesellschaft im Sinne des Absatzes 1 Nummer 3, des Unternehmens im Sinne des Absatzes 1 Nummer 4 oder des geschlossenen AIF im Sinne des Absatzes 1 Nummer 5 oder Nummer 6 oder, wenn der Jahresabschluss mehr als drei Monate vor dem Bewertungsstichtag liegt, von den Vermögenswerten und Verbindlichkeiten der ÖPP-Projektgesellschaft, der Infrastruktur-Projektgesellschaft, der Gesellschaft im Sinne des Absatzes 1 Nummer 3, des Unternehmens im Sinne des Absatzes 1 Nummer 4 oder des geschlossenen AIF im Sinne des Absatzes 1 Nummer 5 oder Nummer 6 auszugehen, die in einer vom Abschlussprüfer geprüften aktuellen Vermögensaufstellung nachgewiesen sind.</w:t>
      </w:r>
    </w:p>
    <w:p>
      <w:r>
        <w:t xml:space="preserve">(7) Investiert die AIF-Kapitalverwaltungsgesellschaft für einen geschlossenen inländischen Publikums-AIF in Vermögensgegenstände im Sinne von Absatz 1 Nummer 4, gelten die §§ 287 bis 292 entsprechend.</w:t>
      </w:r>
    </w:p>
    <w:p>
      <w:r>
        <w:rPr>
          <w:color w:val="555555"/>
          <w:sz w:val="17"/>
        </w:rPr>
        <w:t xml:space="preserve">Zitiervorschlag: § 261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