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260d KAGB — Angaben im Verkaufsprospekt und den Anlagebedingungen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10.09.2021 (konsolidierte Textfassung, kein amtliches Inkrafttretensdatum)</w:t>
      </w:r>
    </w:p>
    <w:p>
      <w:r>
        <w:t xml:space="preserve">(1) Der Verkaufsprospekt muss zusätzlich zu den Angaben nach § 165 folgende Angaben enthalten:</w:t>
      </w:r>
    </w:p>
    <w:p>
      <w:pPr>
        <w:ind w:left="420"/>
      </w:pPr>
      <w:r>
        <w:t xml:space="preserve">1. eine Beschreibung der wesentlichen Merkmale von Infrastruktur-Projektgesellschaften;</w:t>
      </w:r>
    </w:p>
    <w:p>
      <w:pPr>
        <w:ind w:left="420"/>
      </w:pPr>
      <w:r>
        <w:t xml:space="preserve">2. die Arten von Infrastruktur-Projektgesellschaften, die für das Sondervermögen erworben werden dürfen, und nach welchen Grundsätzen sie ausgewählt werden;</w:t>
      </w:r>
    </w:p>
    <w:p>
      <w:pPr>
        <w:ind w:left="420"/>
      </w:pPr>
      <w:r>
        <w:t xml:space="preserve">3. einen Hinweis, dass in Beteiligungen an Infrastruktur-Projektgesellschaften, die nicht zum Handel an einer Börse zugelassen oder in einen anderen organisierten Markt einbezogen sind, angelegt werden darf;</w:t>
      </w:r>
    </w:p>
    <w:p>
      <w:pPr>
        <w:ind w:left="420"/>
      </w:pPr>
      <w:r>
        <w:t xml:space="preserve">4. einen ausdrücklichen, drucktechnisch hervorgehobenen Hinweis, dass der Anleger abweichend von § 98 Absatz 1 von der Kapitalverwaltungsgesellschaft die Rücknahme von Anteilen und die Auszahlung des Anteilwertes nur zu den Rücknahmeterminen verlangen kann, die in den Anlagebedingungen bestimmt sind;</w:t>
      </w:r>
    </w:p>
    <w:p>
      <w:pPr>
        <w:ind w:left="420"/>
      </w:pPr>
      <w:r>
        <w:t xml:space="preserve">5. alle Voraussetzungen und Bedingungen der Kündigung und Auszahlung von Anteilen aus dem Sondervermögen Zug um Zug gegen Rückgabe der Anteile.</w:t>
      </w:r>
    </w:p>
    <w:p>
      <w:r>
        <w:t xml:space="preserve">(2) Die Angaben nach Absatz 1 Nummer 1 bis 3 und 5 sind in die Anlagebedingungen aufzunehmen.</w:t>
      </w:r>
    </w:p>
    <w:p>
      <w:r>
        <w:rPr>
          <w:color w:val="555555"/>
          <w:sz w:val="17"/>
        </w:rPr>
        <w:t xml:space="preserve">Zitiervorschlag: § 260d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https://recht.nulegal.eu/gesetze/KAGB/260d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