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260b KAGB — Zulässige Vermögensgegenstände, Anlagegrenzen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Die Kapitalverwaltungsgesellschaft darf für ein Infrastruktur-Sondervermögen nur erwerben:</w:t>
      </w:r>
    </w:p>
    <w:p>
      <w:pPr>
        <w:ind w:left="420"/>
      </w:pPr>
      <w:r>
        <w:t xml:space="preserve">1. Beteiligungen an Infrastruktur-Projektgesellschaften,</w:t>
      </w:r>
    </w:p>
    <w:p>
      <w:pPr>
        <w:ind w:left="420"/>
      </w:pPr>
      <w:r>
        <w:t xml:space="preserve">2. Immobilien,</w:t>
      </w:r>
    </w:p>
    <w:p>
      <w:pPr>
        <w:ind w:left="420"/>
      </w:pPr>
      <w:r>
        <w:t xml:space="preserve">3. Wertpapiere,</w:t>
      </w:r>
    </w:p>
    <w:p>
      <w:pPr>
        <w:ind w:left="420"/>
      </w:pPr>
      <w:r>
        <w:t xml:space="preserve">4. Geldmarktinstrumente,</w:t>
      </w:r>
    </w:p>
    <w:p>
      <w:pPr>
        <w:ind w:left="420"/>
      </w:pPr>
      <w:r>
        <w:t xml:space="preserve">5. Bankguthaben,</w:t>
      </w:r>
    </w:p>
    <w:p>
      <w:pPr>
        <w:ind w:left="420"/>
      </w:pPr>
      <w:r>
        <w:t xml:space="preserve">6. Investmentanteile nach Maßgabe des § 196, wenn die Investmentvermögen, an denen Anteile gehalten werden, ausschließlich in Bankguthaben und Geldmarktinstrumenten angelegt sind, und</w:t>
      </w:r>
    </w:p>
    <w:p>
      <w:pPr>
        <w:ind w:left="420"/>
      </w:pPr>
      <w:r>
        <w:t xml:space="preserve">7. Vermögensgegenstände nach Maßgabe des Absatzes 7.</w:t>
      </w:r>
    </w:p>
    <w:p>
      <w:r>
        <w:t xml:space="preserve">(2) Die Kapitalverwaltungsgesellschaft hat sicherzustellen, dass</w:t>
      </w:r>
    </w:p>
    <w:p>
      <w:pPr>
        <w:ind w:left="420"/>
      </w:pPr>
      <w:r>
        <w:t xml:space="preserve">1. der Anteil der für Rechnung des Infrastruktur-Sondervermögens gehaltenen Beteiligungen an Infrastruktur-Projektgesellschaften 80 Prozent des Wertes des Sondervermögens nicht übersteigt und</w:t>
      </w:r>
    </w:p>
    <w:p>
      <w:pPr>
        <w:ind w:left="420"/>
      </w:pPr>
      <w:r>
        <w:t xml:space="preserve">2. nicht mehr als 10 Prozent des Wertes eines Infrastruktur-Sondervermögens in einer einzigen Infrastruktur-Projektgesellschaft angelegt sind.</w:t>
      </w:r>
    </w:p>
    <w:p>
      <w:r>
        <w:t xml:space="preserve">(3) Die Kapitalverwaltungsgesellschaft hat sicherzustellen, dass nicht mehr als 30 Prozent des Wertes des Infrastruktur-Sondervermögens in Immobilien und Rechten angelegt werden.</w:t>
      </w:r>
    </w:p>
    <w:p>
      <w:r>
        <w:t xml:space="preserve">(4) Die Kapitalverwaltungsgesellschaft hat sicherzustellen, dass der Anteil der für Rechnung des Infrastruktur-Sondervermögens gehaltenen Beteiligungen an Infrastruktur-Projektgesellschaften, Immobilien und Nießbrauchrechten an Grundstücken mindestens 60 Prozent des Wertes des Sondervermögens beträgt.</w:t>
      </w:r>
    </w:p>
    <w:p>
      <w:r>
        <w:t xml:space="preserve">(5) Die Kapitalverwaltungsgesellschaft hat sicherzustellen, dass nicht mehr als 20 Prozent des Wertes des Infrastruktur-Sondervermögens in Wertpapieren im Sinne des § 193 Absatz 1 Nummer 1, 5 und 6 angelegt werden.</w:t>
      </w:r>
    </w:p>
    <w:p>
      <w:r>
        <w:t xml:space="preserve">(6) Die Kapitalverwaltungsgesellschaft hat sicherzustellen, dass der Anteil der für Rechnung des Infrastruktur-Sondervermögens gehaltenen Vermögensgegenstände nach Absatz 1 Nummer 4 bis 6 mindestens 10 Prozent des Wertes des Sondervermögens beträgt.</w:t>
      </w:r>
    </w:p>
    <w:p>
      <w:r>
        <w:t xml:space="preserve">(7) Geschäfte, die Derivate zum Gegenstand haben, dürfen nur zur Absicherung von im Infrastruktur-Sondervermögen gehaltenen Vermögensgegenständen gegen einen Wertverlust getätigt werden.</w:t>
      </w:r>
    </w:p>
    <w:p>
      <w:r>
        <w:rPr>
          <w:color w:val="555555"/>
          <w:sz w:val="17"/>
        </w:rPr>
        <w:t xml:space="preserve">Zitiervorschlag: § 260b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https://recht.nulegal.eu/gesetze/KAGB/260b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