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260a KAGB — Infrastruktur-Sondervermögen</w:t>
      </w:r>
    </w:p>
    <w:p>
      <w:r>
        <w:rPr>
          <w:color w:val="555555"/>
          <w:sz w:val="18"/>
        </w:rPr>
        <w:t xml:space="preserve">Kapitalanlagegesetzbuch</w:t>
      </w:r>
    </w:p>
    <w:p>
      <w:r>
        <w:rPr>
          <w:color w:val="555555"/>
          <w:sz w:val="18"/>
        </w:rPr>
        <w:t xml:space="preserve">Stand: 18.04.2026 (konsolidierte Textfassung, kein amtliches Inkrafttretensdatum)</w:t>
      </w:r>
    </w:p>
    <w:p>
      <w:r>
        <w:t xml:space="preserve">Auf die Verwaltung von Infrastruktur-Sondervermögen nach Maßgabe der §§ 260b bis 260d finden die Vorschriften der §§ 230 bis 260 entsprechende Anwendung, soweit sich aus den nachfolgenden Vorschriften nichts anderes ergibt. Satz 1 gilt für offene Infrastruktur-Investmentvermögen, welche nicht als Sondervermögen aufgelegt werden, entsprechend.</w:t>
      </w:r>
    </w:p>
    <w:p>
      <w:r>
        <w:rPr>
          <w:color w:val="555555"/>
          <w:sz w:val="17"/>
        </w:rPr>
        <w:t xml:space="preserve">Zitiervorschlag: § 260a KAGB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https://recht.nulegal.eu/gesetze/KAGB/260a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