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260 KAGB — Veräußerung und Belastung von Vermögensgegenständen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Veräußerung von Vermögensgegenständen nach § 231 Absatz 1 und § 234, die zu einem Sondervermögen gehören, ist vorbehaltlich des § 257 nur zulässig, wenn</w:t>
      </w:r>
    </w:p>
    <w:p>
      <w:pPr>
        <w:ind w:left="420"/>
      </w:pPr>
      <w:r>
        <w:t xml:space="preserve">1. dies in den Anlagebedingungen vorgesehen ist und</w:t>
      </w:r>
    </w:p>
    <w:p>
      <w:pPr>
        <w:ind w:left="420"/>
      </w:pPr>
      <w:r>
        <w:t xml:space="preserve">2. die Gegenleistung den gemäß § 249 Absatz 1 ermittelten Wert nicht oder nicht wesentlich unterschreitet.</w:t>
      </w:r>
    </w:p>
    <w:p>
      <w:r>
        <w:t xml:space="preserve">Werden durch ein einheitliches Rechtsgeschäft zwei oder mehr der in Satz 1 genannten Vermögensgegenstände an denselben Erwerber veräußert, darf die insgesamt vereinbarte Gegenleistung die Summe der Werte, die für die veräußerten Vermögensgegenstände ermittelt wurden, um höchstens 5 Prozent unterschreiten, wenn dies den Interessen der Anleger nicht zuwiderläuft.</w:t>
      </w:r>
    </w:p>
    <w:p>
      <w:r>
        <w:t xml:space="preserve">(2) Von der Bewertung gemäß § 249 Absatz 1 kann abgesehen werden, wenn</w:t>
      </w:r>
    </w:p>
    <w:p>
      <w:pPr>
        <w:ind w:left="420"/>
      </w:pPr>
      <w:r>
        <w:t xml:space="preserve">1. Teile des Immobilienvermögens auf behördliches Verlangen zu öffentlichen Zwecken veräußert werden,</w:t>
      </w:r>
    </w:p>
    <w:p>
      <w:pPr>
        <w:ind w:left="420"/>
      </w:pPr>
      <w:r>
        <w:t xml:space="preserve">2. Teile des Immobilienvermögens im Umlegungsverfahren getauscht oder, um ein Umlegungsverfahren abzuwenden, gegen andere Immobilien getauscht werden oder</w:t>
      </w:r>
    </w:p>
    <w:p>
      <w:pPr>
        <w:ind w:left="420"/>
      </w:pPr>
      <w:r>
        <w:t xml:space="preserve">3. zur Abrundung eigenen Grundbesitzes Immobilien hinzuerworben werden und die hierfür zu entrichtende Gegenleistung die Gegenleistung, die für eine gleich große Fläche einer eigenen Immobilie erbracht wurde, um höchstens 5 Prozent überschreitet.</w:t>
      </w:r>
    </w:p>
    <w:p>
      <w:r>
        <w:t xml:space="preserve">(3) Die Belastung von Vermögensgegenständen nach § 231 Absatz 1, die zu einem Sondervermögen gehören, sowie die Abtretung und Belastung von Forderungen aus Rechtsverhältnissen, die sich auf Vermögensgegenstände nach § 231 Absatz 1 beziehen, sind vorbehaltlich des § 239 zulässig, wenn</w:t>
      </w:r>
    </w:p>
    <w:p>
      <w:pPr>
        <w:ind w:left="420"/>
      </w:pPr>
      <w:r>
        <w:t xml:space="preserve">1. dies in den Anlagebedingungen vorgesehen und mit einer ordnungsgemäßen Wirtschaftsführung vereinbar ist,</w:t>
      </w:r>
    </w:p>
    <w:p>
      <w:pPr>
        <w:ind w:left="420"/>
      </w:pPr>
      <w:r>
        <w:t xml:space="preserve">2. die Verwahrstelle den vorgenannten Maßnahmen zustimmt, weil sie die Bedingungen, unter denen die Maßnahmen erfolgen sollen, für marktüblich erachtet, und</w:t>
      </w:r>
    </w:p>
    <w:p>
      <w:pPr>
        <w:ind w:left="420"/>
      </w:pPr>
      <w:r>
        <w:t xml:space="preserve">3. die AIF-Kapitalverwaltungsgesellschaft sicherstellt, dass die Belastung insgesamt 30 Prozent des Verkehrswertes der im Sondervermögen befindlichen Immobilien nicht überschreitet.</w:t>
      </w:r>
    </w:p>
    <w:p>
      <w:r>
        <w:t xml:space="preserve">(4) Verfügungen über Vermögensgegenstände, die zum Vermögen der Immobilien-Gesellschaften gehören, gelten für die Prüfung ihrer Zulässigkeit als Vermögensgegenstände im Sinne der Absätze 1 und 3.</w:t>
      </w:r>
    </w:p>
    <w:p>
      <w:r>
        <w:t xml:space="preserve">(5) Die Wirksamkeit einer Verfügung wird durch einen Verstoß gegen die Vorschriften der Absätze 1 und 3 nicht berührt.</w:t>
      </w:r>
    </w:p>
    <w:p>
      <w:r>
        <w:rPr>
          <w:color w:val="555555"/>
          <w:sz w:val="17"/>
        </w:rPr>
        <w:t xml:space="preserve">Zitiervorschlag: § 260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