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KAGB — Allgemeine Verhaltensregeln; Verordnungsermächtigung</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Die Kapitalverwaltungsgesellschaft handelt bei der Wahrnehmung ihrer Aufgaben unabhängig von der Verwahrstelle und ausschließlich im Interesse der Anleger.</w:t>
      </w:r>
    </w:p>
    <w:p>
      <w:r>
        <w:t xml:space="preserve">(2) Die Kapitalverwaltungsgesellschaft ist verpflichtet,</w:t>
      </w:r>
    </w:p>
    <w:p>
      <w:pPr>
        <w:ind w:left="420"/>
      </w:pPr>
      <w:r>
        <w:t xml:space="preserve">1. ihrer Tätigkeit ehrlich, mit der gebotenen Sachkenntnis, Sorgfalt und Gewissenhaftigkeit und redlich nachzugehen,</w:t>
      </w:r>
    </w:p>
    <w:p>
      <w:pPr>
        <w:ind w:left="420"/>
      </w:pPr>
      <w:r>
        <w:t xml:space="preserve">2. im besten Interesse der von ihr verwalteten Investmentvermögen oder der Anleger dieser Investmentvermögen und der Integrität des Marktes zu handeln,</w:t>
      </w:r>
    </w:p>
    <w:p>
      <w:pPr>
        <w:ind w:left="420"/>
      </w:pPr>
      <w:r>
        <w:t xml:space="preserve">3. alle angemessenen Maßnahmen zur Vermeidung von Interessenkonflikten und, wo diese nicht vermieden werden können, zur Ermittlung, Beilegung, Beobachtung und gegebenenfalls Offenlegung dieser Interessenkonflikte zu treffen, um</w:t>
      </w:r>
    </w:p>
    <w:p>
      <w:pPr>
        <w:ind w:left="780"/>
      </w:pPr>
      <w:r>
        <w:t xml:space="preserve">a) zu vermeiden, dass sich diese nachteilig auf die Interessen der Investmentvermögen und der Anleger auswirken und</w:t>
      </w:r>
    </w:p>
    <w:p>
      <w:pPr>
        <w:ind w:left="780"/>
      </w:pPr>
      <w:r>
        <w:t xml:space="preserve">b) sicherzustellen, dass den von ihr verwalteten Investmentvermögen eine faire Behandlung zukommt,</w:t>
      </w:r>
    </w:p>
    <w:p>
      <w:pPr>
        <w:ind w:left="420"/>
      </w:pPr>
      <w:r>
        <w:t xml:space="preserve">4. über die für eine ordnungsgemäße Geschäftstätigkeit erforderlichen Mittel und Verfahren zu verfügen und diese wirksam einzusetzen,</w:t>
      </w:r>
    </w:p>
    <w:p>
      <w:pPr>
        <w:ind w:left="420"/>
      </w:pPr>
      <w:r>
        <w:t xml:space="preserve">5. alle auf die Ausübung ihrer Geschäftstätigkeit anwendbaren regulatorischen Anforderungen zu erfüllen, um das beste Interesse der von ihr verwalteten Investmentvermögen oder der Anleger dieser Investmentvermögen und die Integrität des Marktes zu fördern und</w:t>
      </w:r>
    </w:p>
    <w:p>
      <w:pPr>
        <w:ind w:left="420"/>
      </w:pPr>
      <w:r>
        <w:t xml:space="preserve">6. alle Anleger der Investmentvermögen fair zu behandeln.</w:t>
      </w:r>
    </w:p>
    <w:p>
      <w:r>
        <w:t xml:space="preserve">(3) Die AIF-Kapitalverwaltungsgesellschaft darf keinem Anleger in einem AIF eine Vorzugsbehandlung gewähren, es sei denn, eine solche Vorzugsbehandlung ist in den Anlagebedingungen, in der Satzung oder dem Gesellschaftsvertrag des entsprechenden AIF vorgesehen.</w:t>
      </w:r>
    </w:p>
    <w:p>
      <w:r>
        <w:t xml:space="preserve">(4) Eine Kapitalverwaltungsgesellschaft, deren Erlaubnis auch die in § 20 Absatz 2 Nummer 1 (Finanzportfolioverwaltung) oder die in § 20 Absatz 3 Nummer 1 (individuelle Vermögensverwaltung) oder Nummer 2 (Finanzportfolioverwaltung) genannte Dienstleistung umfasst, darf das Vermögen des Kunden weder ganz noch teilweise in Anteile der von ihr verwalteten Investmentvermögen anlegen, es sei denn, der Kunde hat zuvor eine allgemeine Zustimmung hierzu gegeben.</w:t>
      </w:r>
    </w:p>
    <w:p>
      <w:r>
        <w:t xml:space="preserve">(5) Die Kapitalverwaltungsgesellschaft muss insbesondere über geeignete Verfahren verfügen, um bei Investmentvermögen unter Berücksichtigung des Wertes des Investmentvermögens und der Anlegerstruktur eine Beeinträchtigung von Anlegerinteressen durch unangemessene Kosten, Gebühren und Praktiken zu vermeiden.</w:t>
      </w:r>
    </w:p>
    <w:p>
      <w:r>
        <w:t xml:space="preserve">(6) Die Kapitalverwaltungsgesellschaft hat angemessene Grundsätze und Verfahren anzuwenden, um eine Beeinträchtigung der Marktstabilität und Marktintegrität zu verhindern. Missbräuchliche Marktpraktiken sind zu verhindern, insbesondere die kurzfristige, systematische Spekulation mit Investmentanteilen durch Ausnutzung von Kursdifferenzen an Börsen und anderen organisierten Märkten und damit verbundene Möglichkeiten, Arbitragegewinne zu erzielen.</w:t>
      </w:r>
    </w:p>
    <w:p>
      <w:r>
        <w:t xml:space="preserve">(7) Für AIF-Kapitalverwaltungsgesellschaften bestimmen sich die Kriterien, nach welchen die Bundesanstalt beurteilt, ob AIF-Kapitalverwaltungsgesellschaften ihren in den Absätzen 1 und 2 genannten Pflichten nachkommen, nach den Artikeln 16 bis 29 der Delegierten Verordnung (EU) Nr. 231/2013. Für nähere Einzelheiten der Anforderungen an OGAW-Kapitalverwaltungsgesellschaften zur Erfüllung ihrer Pflicht, im Sinne des Absatzes 1 bei der Wahrnehmung ihrer Aufgaben unabhängig von der Verwahrstelle zu handeln, wird auf Artikel 21 Buchstabe a bis c, Artikel 22 Absatz 1 bis 4 und Artikel 23 der Delegierten Verordnung (EU) 2016/438 verwiesen. Für AIF-Kapitalverwaltungsgesellschaften, die nicht ausschließlich Spezial-AIF verwalten, gelten Artikel 21 Buchstabe a bis c, Artikel 22 Absatz 1 bis 4 und Artikel 23 der Delegierten Verordnung (EU) 2016/438 entsprechend.</w:t>
      </w:r>
    </w:p>
    <w:p>
      <w:r>
        <w:t xml:space="preserve">(8) Das Bundesministerium der Finanzen wird ermächtigt, durch Rechtsverordnung, die nicht der Zustimmung des Bundesrates bedarf, für Kapitalverwaltungsgesellschaften in Bezug auf Publikums-AIF zusätzliche Bestimmungen zu den in den Artikeln 16 bis 29 der Delegierten Verordnung (EU) Nr. 231/2013 aufgeführten Kriterien nach Absatz 7 und in Bezug auf OGAW nähere Bestimmungen zu erlassen</w:t>
      </w:r>
    </w:p>
    <w:p>
      <w:pPr>
        <w:ind w:left="420"/>
      </w:pPr>
      <w:r>
        <w:t xml:space="preserve">1. zu Verhaltensregeln, die den Anforderungen nach den Absätzen 1 und 2 Nummer 1 und 2 entsprechen und</w:t>
      </w:r>
    </w:p>
    <w:p>
      <w:pPr>
        <w:ind w:left="420"/>
      </w:pPr>
      <w:r>
        <w:t xml:space="preserve">2. über die Mittel und Verfahren, die für eine ordnungsgemäße Geschäftstätigkeit solcher Kapitalverwaltungsgesellschaften erforderlich sind.</w:t>
      </w:r>
    </w:p>
    <w:p>
      <w:r>
        <w:t xml:space="preserve">Das Bundesministerium der Finanzen kann die Ermächtigung durch Rechtsverordnung auf die Bundesanstalt übertragen.</w:t>
      </w:r>
    </w:p>
    <w:p>
      <w:r>
        <w:rPr>
          <w:color w:val="555555"/>
          <w:sz w:val="17"/>
        </w:rPr>
        <w:t xml:space="preserve">Zitiervorschlag: § 26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